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2EB325D1" w:rsidR="00BD1AE0" w:rsidRPr="00BD1AE0" w:rsidRDefault="00D4687F" w:rsidP="00D4687F">
      <w:pPr>
        <w:tabs>
          <w:tab w:val="left" w:pos="8504"/>
        </w:tabs>
        <w:spacing w:before="77"/>
        <w:ind w:left="0" w:firstLine="0"/>
        <w:rPr>
          <w:rFonts w:ascii="AvenirNext LT Pro Medium" w:hAnsi="AvenirNext LT Pro Medium"/>
          <w:b/>
          <w:sz w:val="16"/>
          <w:lang w:val="en-US"/>
        </w:rPr>
      </w:pPr>
      <w:r>
        <w:rPr>
          <w:noProof/>
        </w:rPr>
        <mc:AlternateContent>
          <mc:Choice Requires="wpg">
            <w:drawing>
              <wp:anchor distT="0" distB="0" distL="0" distR="0" simplePos="0" relativeHeight="251658242" behindDoc="1" locked="0" layoutInCell="1" allowOverlap="1" wp14:anchorId="04CFDBB2" wp14:editId="0F3A86E6">
                <wp:simplePos x="0" y="0"/>
                <wp:positionH relativeFrom="page">
                  <wp:posOffset>0</wp:posOffset>
                </wp:positionH>
                <wp:positionV relativeFrom="page">
                  <wp:posOffset>9525</wp:posOffset>
                </wp:positionV>
                <wp:extent cx="7559675" cy="10680700"/>
                <wp:effectExtent l="0" t="0" r="3175" b="6350"/>
                <wp:wrapNone/>
                <wp:docPr id="2" name="Group 2">
                  <a:extLst xmlns:a="http://schemas.openxmlformats.org/drawingml/2006/main">
                    <a:ext uri="{FF2B5EF4-FFF2-40B4-BE49-F238E27FC236}">
                      <a16:creationId xmlns:a16="http://schemas.microsoft.com/office/drawing/2014/main" id="{32CC153B-2B89-42A9-8B78-CDEE492A3A26}"/>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66175" y="7547225"/>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72F2EC" id="Group 2" o:spid="_x0000_s1026" style="position:absolute;margin-left:0;margin-top:.75pt;width:595.25pt;height:841pt;z-index:-251658238;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iSvLI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661;top:75472;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Pr>
          <w:noProof/>
        </w:rPr>
        <mc:AlternateContent>
          <mc:Choice Requires="wps">
            <w:drawing>
              <wp:anchor distT="0" distB="0" distL="0" distR="0" simplePos="0" relativeHeight="251658240" behindDoc="1" locked="0" layoutInCell="1" allowOverlap="1" wp14:anchorId="232ACA92" wp14:editId="29BEA0AA">
                <wp:simplePos x="0" y="0"/>
                <wp:positionH relativeFrom="page">
                  <wp:posOffset>0</wp:posOffset>
                </wp:positionH>
                <wp:positionV relativeFrom="page">
                  <wp:posOffset>3810</wp:posOffset>
                </wp:positionV>
                <wp:extent cx="7559675" cy="10692130"/>
                <wp:effectExtent l="0" t="0" r="3175" b="0"/>
                <wp:wrapNone/>
                <wp:docPr id="1" name="Graphic 1">
                  <a:extLst xmlns:a="http://schemas.openxmlformats.org/drawingml/2006/main">
                    <a:ext uri="{FF2B5EF4-FFF2-40B4-BE49-F238E27FC236}">
                      <a16:creationId xmlns:a16="http://schemas.microsoft.com/office/drawing/2014/main" id="{43B7DE06-4E30-40CB-AE28-0E7BFA0BEE9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153190DF" id="Graphic 1" o:spid="_x0000_s1026" style="position:absolute;margin-left:0;margin-top:.3pt;width:595.25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" path="m7559992,l,,,10692003r7559992,l7559992,xe" fillcolor="#1c4174" stroked="f">
                <v:path arrowok="t"/>
                <w10:wrap anchorx="page" anchory="page"/>
              </v:shape>
            </w:pict>
          </mc:Fallback>
        </mc:AlternateContent>
      </w:r>
      <w:r w:rsidR="00BD1AE0" w:rsidRPr="00BD1AE0">
        <w:rPr>
          <w:noProof/>
          <w:color w:val="BAE5F2"/>
          <w:spacing w:val="-2"/>
          <w:sz w:val="16"/>
          <w:lang w:val="en-US"/>
        </w:rPr>
        <mc:AlternateContent>
          <mc:Choice Requires="wps">
            <w:drawing>
              <wp:anchor distT="45720" distB="45720" distL="114300" distR="114300" simplePos="0" relativeHeight="251658243" behindDoc="0" locked="0" layoutInCell="1" allowOverlap="1" wp14:anchorId="09A692FB" wp14:editId="1D691384">
                <wp:simplePos x="0" y="0"/>
                <wp:positionH relativeFrom="margin">
                  <wp:posOffset>4153</wp:posOffset>
                </wp:positionH>
                <wp:positionV relativeFrom="paragraph">
                  <wp:posOffset>-990600</wp:posOffset>
                </wp:positionV>
                <wp:extent cx="2360930" cy="1404620"/>
                <wp:effectExtent l="0" t="0" r="0" b="4445"/>
                <wp:wrapNone/>
                <wp:docPr id="217" name="Cuadro de texto 2">
                  <a:extLst xmlns:a="http://schemas.openxmlformats.org/drawingml/2006/main">
                    <a:ext uri="{FF2B5EF4-FFF2-40B4-BE49-F238E27FC236}">
                      <a16:creationId xmlns:a16="http://schemas.microsoft.com/office/drawing/2014/main" id="{8C0CB8EA-F1EB-4520-931F-CBE94A71A5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46FBA5CC" w:rsidR="00BD1AE0" w:rsidRPr="00D4687F" w:rsidRDefault="00BD1AE0">
                            <w:pPr>
                              <w:rPr>
                                <w:color w:val="C3E4EF" w:themeColor="accent4"/>
                                <w:sz w:val="16"/>
                                <w:szCs w:val="18"/>
                                <w:lang w:val="da-DK"/>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35pt;margin-top:-78pt;width:185.9pt;height:110.6pt;z-index:25165824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" filled="f" stroked="f">
                <v:textbox style="mso-fit-shape-to-text:t">
                  <w:txbxContent>
                    <w:p w14:paraId="70560432" w14:textId="46FBA5CC" w:rsidR="00BD1AE0" w:rsidRPr="00D4687F" w:rsidRDefault="00BD1AE0">
                      <w:pPr>
                        <w:rPr>
                          <w:color w:val="C3E4EF" w:themeColor="accent4"/>
                          <w:sz w:val="16"/>
                          <w:szCs w:val="18"/>
                          <w:lang w:val="da-DK"/>
                        </w:rPr>
                      </w:pPr>
                    </w:p>
                  </w:txbxContent>
                </v:textbox>
                <w10:wrap anchorx="margin"/>
              </v:shape>
            </w:pict>
          </mc:Fallback>
        </mc:AlternateContent>
      </w:r>
      <w:r>
        <w:rPr>
          <w:rFonts w:ascii="AvenirNext LT Pro Medium" w:hAnsi="AvenirNext LT Pro Medium"/>
          <w:b/>
          <w:sz w:val="16"/>
          <w:lang w:val="en-US"/>
        </w:rPr>
        <w:tab/>
      </w:r>
    </w:p>
    <w:p w14:paraId="1F269CAA" w14:textId="0B58945F" w:rsidR="00BD1AE0" w:rsidRDefault="00BD1AE0" w:rsidP="00BD1AE0">
      <w:pPr>
        <w:rPr>
          <w:sz w:val="120"/>
        </w:rPr>
      </w:pPr>
    </w:p>
    <w:p w14:paraId="2754DB2F" w14:textId="3C7F7055" w:rsidR="00BD1AE0" w:rsidRDefault="00BD1AE0" w:rsidP="00BD1AE0">
      <w:pPr>
        <w:rPr>
          <w:sz w:val="120"/>
        </w:rPr>
      </w:pPr>
    </w:p>
    <w:p w14:paraId="7D69611A" w14:textId="6040C5BE" w:rsidR="00BD1AE0" w:rsidRDefault="00882524" w:rsidP="00BD1AE0">
      <w:pPr>
        <w:spacing w:before="847"/>
        <w:rPr>
          <w:sz w:val="120"/>
        </w:rPr>
      </w:pPr>
      <w:r w:rsidRPr="00882524">
        <w:rPr>
          <w:noProof/>
        </w:rPr>
        <mc:AlternateContent>
          <mc:Choice Requires="wps">
            <w:drawing>
              <wp:anchor distT="45720" distB="45720" distL="114300" distR="114300" simplePos="0" relativeHeight="251658246" behindDoc="0" locked="0" layoutInCell="1" allowOverlap="1" wp14:anchorId="7B329D6F" wp14:editId="7714D1CC">
                <wp:simplePos x="0" y="0"/>
                <wp:positionH relativeFrom="margin">
                  <wp:posOffset>-133350</wp:posOffset>
                </wp:positionH>
                <wp:positionV relativeFrom="paragraph">
                  <wp:posOffset>1467485</wp:posOffset>
                </wp:positionV>
                <wp:extent cx="5966460" cy="1714500"/>
                <wp:effectExtent l="0" t="0" r="0" b="0"/>
                <wp:wrapThrough wrapText="bothSides">
                  <wp:wrapPolygon edited="0">
                    <wp:start x="207" y="0"/>
                    <wp:lineTo x="207" y="21360"/>
                    <wp:lineTo x="21379" y="21360"/>
                    <wp:lineTo x="21379" y="0"/>
                    <wp:lineTo x="207" y="0"/>
                  </wp:wrapPolygon>
                </wp:wrapThrough>
                <wp:docPr id="1666522972" name="Cuadro de texto 2">
                  <a:extLst xmlns:a="http://schemas.openxmlformats.org/drawingml/2006/main">
                    <a:ext uri="{FF2B5EF4-FFF2-40B4-BE49-F238E27FC236}">
                      <a16:creationId xmlns:a16="http://schemas.microsoft.com/office/drawing/2014/main" id="{DE4CAA73-8CA9-4B2E-8E02-4C61B49176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714500"/>
                        </a:xfrm>
                        <a:prstGeom prst="rect">
                          <a:avLst/>
                        </a:prstGeom>
                        <a:noFill/>
                        <a:ln w="9525">
                          <a:noFill/>
                          <a:miter lim="800000"/>
                          <a:headEnd/>
                          <a:tailEnd/>
                        </a:ln>
                      </wps:spPr>
                      <wps:txbx>
                        <w:txbxContent>
                          <w:p w14:paraId="528857EE" w14:textId="7392D641" w:rsidR="00882524" w:rsidRPr="000522E6" w:rsidRDefault="00372E3A" w:rsidP="00176F19">
                            <w:pPr>
                              <w:spacing w:after="0" w:line="240" w:lineRule="auto"/>
                              <w:jc w:val="left"/>
                              <w:rPr>
                                <w:rFonts w:ascii="Arial" w:hAnsi="Arial" w:cs="Arial"/>
                              </w:rPr>
                            </w:pPr>
                            <w:r w:rsidRPr="000522E6">
                              <w:rPr>
                                <w:rFonts w:ascii="Arial" w:hAnsi="Arial" w:cs="Arial"/>
                                <w:b/>
                                <w:color w:val="BAE5F2"/>
                                <w:spacing w:val="21"/>
                                <w:sz w:val="106"/>
                                <w:lang w:val="en-US"/>
                              </w:rPr>
                              <w:t>I</w:t>
                            </w:r>
                            <w:r w:rsidR="00B15864" w:rsidRPr="000522E6">
                              <w:rPr>
                                <w:rFonts w:ascii="Arial" w:hAnsi="Arial" w:cs="Arial"/>
                                <w:b/>
                                <w:color w:val="BAE5F2"/>
                                <w:spacing w:val="21"/>
                                <w:sz w:val="106"/>
                                <w:lang w:val="en-US"/>
                              </w:rPr>
                              <w:t>nvestor Relations</w:t>
                            </w:r>
                            <w:r w:rsidRPr="000522E6">
                              <w:rPr>
                                <w:rFonts w:ascii="Arial" w:hAnsi="Arial" w:cs="Arial"/>
                                <w:b/>
                                <w:color w:val="BAE5F2"/>
                                <w:spacing w:val="21"/>
                                <w:sz w:val="106"/>
                                <w:lang w:val="en-US"/>
                              </w:rPr>
                              <w:t xml:space="preserve"> </w:t>
                            </w:r>
                            <w:r w:rsidR="00B10C6C" w:rsidRPr="000522E6">
                              <w:rPr>
                                <w:rFonts w:ascii="Arial" w:hAnsi="Arial" w:cs="Arial"/>
                                <w:b/>
                                <w:color w:val="BAE5F2"/>
                                <w:spacing w:val="21"/>
                                <w:sz w:val="106"/>
                                <w:lang w:val="en-US"/>
                              </w:rPr>
                              <w:t>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left:0;text-align:left;margin-left:-10.5pt;margin-top:115.55pt;width:469.8pt;height:13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" filled="f" stroked="f">
                <v:textbox>
                  <w:txbxContent>
                    <w:p w14:paraId="528857EE" w14:textId="7392D641" w:rsidR="00882524" w:rsidRPr="000522E6" w:rsidRDefault="00372E3A" w:rsidP="00176F19">
                      <w:pPr>
                        <w:spacing w:after="0" w:line="240" w:lineRule="auto"/>
                        <w:jc w:val="left"/>
                        <w:rPr>
                          <w:rFonts w:ascii="Arial" w:hAnsi="Arial" w:cs="Arial"/>
                        </w:rPr>
                      </w:pPr>
                      <w:r w:rsidRPr="000522E6">
                        <w:rPr>
                          <w:rFonts w:ascii="Arial" w:hAnsi="Arial" w:cs="Arial"/>
                          <w:b/>
                          <w:color w:val="BAE5F2"/>
                          <w:spacing w:val="21"/>
                          <w:sz w:val="106"/>
                          <w:lang w:val="en-US"/>
                        </w:rPr>
                        <w:t>I</w:t>
                      </w:r>
                      <w:r w:rsidR="00B15864" w:rsidRPr="000522E6">
                        <w:rPr>
                          <w:rFonts w:ascii="Arial" w:hAnsi="Arial" w:cs="Arial"/>
                          <w:b/>
                          <w:color w:val="BAE5F2"/>
                          <w:spacing w:val="21"/>
                          <w:sz w:val="106"/>
                          <w:lang w:val="en-US"/>
                        </w:rPr>
                        <w:t>nvestor Relations</w:t>
                      </w:r>
                      <w:r w:rsidRPr="000522E6">
                        <w:rPr>
                          <w:rFonts w:ascii="Arial" w:hAnsi="Arial" w:cs="Arial"/>
                          <w:b/>
                          <w:color w:val="BAE5F2"/>
                          <w:spacing w:val="21"/>
                          <w:sz w:val="106"/>
                          <w:lang w:val="en-US"/>
                        </w:rPr>
                        <w:t xml:space="preserve"> </w:t>
                      </w:r>
                      <w:r w:rsidR="00B10C6C" w:rsidRPr="000522E6">
                        <w:rPr>
                          <w:rFonts w:ascii="Arial" w:hAnsi="Arial" w:cs="Arial"/>
                          <w:b/>
                          <w:color w:val="BAE5F2"/>
                          <w:spacing w:val="21"/>
                          <w:sz w:val="106"/>
                          <w:lang w:val="en-US"/>
                        </w:rPr>
                        <w:t>Policy</w:t>
                      </w:r>
                    </w:p>
                  </w:txbxContent>
                </v:textbox>
                <w10:wrap type="through" anchorx="margin"/>
              </v:shape>
            </w:pict>
          </mc:Fallback>
        </mc:AlternateContent>
      </w:r>
    </w:p>
    <w:p w14:paraId="71D98C25" w14:textId="4C137E0E" w:rsidR="00BD1AE0" w:rsidRDefault="00BD1AE0" w:rsidP="00882524">
      <w:pPr>
        <w:spacing w:before="353" w:line="232" w:lineRule="auto"/>
        <w:jc w:val="left"/>
        <w:rPr>
          <w:rFonts w:ascii="AvenirNext LT Pro Medium"/>
          <w:b/>
          <w:sz w:val="20"/>
        </w:rPr>
      </w:pPr>
    </w:p>
    <w:p w14:paraId="41E25703" w14:textId="51CC4309" w:rsidR="00BD1AE0" w:rsidRDefault="00BD1AE0" w:rsidP="00BD1AE0">
      <w:pPr>
        <w:rPr>
          <w:rFonts w:ascii="AvenirNext LT Pro Medium"/>
          <w:b/>
          <w:sz w:val="20"/>
        </w:rPr>
      </w:pPr>
    </w:p>
    <w:p w14:paraId="2330D367" w14:textId="3805FED8" w:rsidR="00BD1AE0" w:rsidRDefault="00BD1AE0" w:rsidP="00BD1AE0">
      <w:pPr>
        <w:rPr>
          <w:rFonts w:ascii="AvenirNext LT Pro Medium"/>
          <w:b/>
          <w:sz w:val="20"/>
        </w:rPr>
      </w:pPr>
    </w:p>
    <w:p w14:paraId="0AE7B1C0" w14:textId="590E74A4" w:rsidR="0072040C" w:rsidRPr="00BD1AE0" w:rsidRDefault="00176F19">
      <w:pPr>
        <w:spacing w:after="0" w:line="259" w:lineRule="auto"/>
        <w:ind w:left="-850" w:right="11063" w:firstLine="0"/>
        <w:jc w:val="left"/>
        <w:rPr>
          <w:lang w:val="en-US"/>
        </w:rPr>
      </w:pPr>
      <w:r w:rsidRPr="00882524">
        <w:rPr>
          <w:noProof/>
        </w:rPr>
        <w:drawing>
          <wp:anchor distT="0" distB="0" distL="114300" distR="114300" simplePos="0" relativeHeight="251658244" behindDoc="0" locked="0" layoutInCell="1" allowOverlap="0" wp14:anchorId="204B4E9B" wp14:editId="04EA2B6C">
            <wp:simplePos x="0" y="0"/>
            <wp:positionH relativeFrom="margin">
              <wp:align>center</wp:align>
            </wp:positionH>
            <wp:positionV relativeFrom="page">
              <wp:posOffset>7943850</wp:posOffset>
            </wp:positionV>
            <wp:extent cx="75152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a:extLst xmlns:a="http://schemas.openxmlformats.org/drawingml/2006/main">
                <a:ext uri="{FF2B5EF4-FFF2-40B4-BE49-F238E27FC236}">
                  <a16:creationId xmlns:a16="http://schemas.microsoft.com/office/drawing/2014/main" id="{2FDC2219-96DB-46F7-9E6D-617D5FDDED74}"/>
                </a:ext>
              </a:extLst>
            </wp:docPr>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0"/>
                    <a:srcRect t="74477" b="15204"/>
                    <a:stretch>
                      <a:fillRect/>
                    </a:stretch>
                  </pic:blipFill>
                  <pic:spPr bwMode="auto">
                    <a:xfrm>
                      <a:off x="0" y="0"/>
                      <a:ext cx="75152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479E" w:rsidRPr="00BD1AE0">
        <w:rPr>
          <w:lang w:val="en-US"/>
        </w:rPr>
        <w:br w:type="page"/>
      </w:r>
    </w:p>
    <w:p w14:paraId="09F313DA" w14:textId="19B6B2D0" w:rsidR="00BB4923" w:rsidRPr="00F236D9" w:rsidRDefault="00BB4923" w:rsidP="00BB4923">
      <w:pPr>
        <w:pStyle w:val="Heading1"/>
        <w:rPr>
          <w:rFonts w:cstheme="minorHAnsi"/>
          <w:szCs w:val="20"/>
          <w:lang w:val="en-GB"/>
        </w:rPr>
      </w:pPr>
      <w:r w:rsidRPr="00F236D9">
        <w:rPr>
          <w:lang w:val="en-GB"/>
        </w:rPr>
        <w:t>Introduction</w:t>
      </w:r>
    </w:p>
    <w:p w14:paraId="0208E7D3" w14:textId="0109CDC5" w:rsidR="00CF1C8D" w:rsidRPr="007E619A" w:rsidRDefault="00BB4923" w:rsidP="007E619A">
      <w:pPr>
        <w:numPr>
          <w:ilvl w:val="1"/>
          <w:numId w:val="17"/>
        </w:numPr>
        <w:spacing w:line="290" w:lineRule="auto"/>
        <w:ind w:left="703" w:right="0" w:hanging="703"/>
        <w:rPr>
          <w:lang w:val="en-GB"/>
        </w:rPr>
      </w:pPr>
      <w:r w:rsidRPr="00F236D9">
        <w:rPr>
          <w:lang w:val="en-GB"/>
        </w:rPr>
        <w:t xml:space="preserve">This </w:t>
      </w:r>
      <w:r w:rsidR="00372E3A" w:rsidRPr="00F236D9">
        <w:rPr>
          <w:lang w:val="en-GB"/>
        </w:rPr>
        <w:t xml:space="preserve">Investor Relations </w:t>
      </w:r>
      <w:r w:rsidRPr="00F236D9">
        <w:rPr>
          <w:lang w:val="en-GB"/>
        </w:rPr>
        <w:t>policy (“</w:t>
      </w:r>
      <w:r w:rsidR="00372E3A" w:rsidRPr="00F236D9">
        <w:rPr>
          <w:lang w:val="en-GB"/>
        </w:rPr>
        <w:t>IR</w:t>
      </w:r>
      <w:r w:rsidRPr="00F236D9">
        <w:rPr>
          <w:lang w:val="en-GB"/>
        </w:rPr>
        <w:t xml:space="preserve"> Policy”) of BioMar Group A/S, CVR no. 38 57 06 17 (the “Company”) </w:t>
      </w:r>
      <w:r w:rsidR="00F71146" w:rsidRPr="00F236D9">
        <w:rPr>
          <w:lang w:val="en-GB"/>
        </w:rPr>
        <w:t xml:space="preserve">has been prepared in accordance </w:t>
      </w:r>
      <w:r w:rsidR="00AA1540" w:rsidRPr="00F236D9">
        <w:rPr>
          <w:lang w:val="en-GB"/>
        </w:rPr>
        <w:t>Nasdaq Nordic Main Market Rulebook for Issuers of Shares</w:t>
      </w:r>
      <w:r w:rsidR="0076539C" w:rsidRPr="00F236D9">
        <w:rPr>
          <w:lang w:val="en-GB"/>
        </w:rPr>
        <w:t xml:space="preserve">, </w:t>
      </w:r>
      <w:r w:rsidR="00AA1540" w:rsidRPr="00F236D9">
        <w:rPr>
          <w:lang w:val="en-GB"/>
        </w:rPr>
        <w:t>Guidelines from the Danish Financial Supervisory Authority</w:t>
      </w:r>
      <w:r w:rsidR="0076539C" w:rsidRPr="00F236D9">
        <w:rPr>
          <w:lang w:val="en-GB"/>
        </w:rPr>
        <w:t xml:space="preserve"> and </w:t>
      </w:r>
      <w:r w:rsidR="00AA1540" w:rsidRPr="00F236D9">
        <w:rPr>
          <w:lang w:val="en-GB"/>
        </w:rPr>
        <w:t>Regulation (EU) No. 596/2014 on market abuse, as amended (EU Market Abuse Regulation (“MAR”))</w:t>
      </w:r>
    </w:p>
    <w:p w14:paraId="1A13470D" w14:textId="71990212" w:rsidR="003A2EDD" w:rsidRPr="00136ED5" w:rsidRDefault="00F71146" w:rsidP="00136ED5">
      <w:pPr>
        <w:pStyle w:val="ListParagraph"/>
        <w:numPr>
          <w:ilvl w:val="1"/>
          <w:numId w:val="17"/>
        </w:numPr>
        <w:spacing w:line="290" w:lineRule="auto"/>
        <w:ind w:left="703" w:right="0" w:hanging="703"/>
        <w:contextualSpacing w:val="0"/>
        <w:rPr>
          <w:lang w:val="en-GB"/>
        </w:rPr>
      </w:pPr>
      <w:r w:rsidRPr="00F236D9">
        <w:rPr>
          <w:lang w:val="en-GB"/>
        </w:rPr>
        <w:t xml:space="preserve">The IR Policy </w:t>
      </w:r>
      <w:r w:rsidR="00C10FF7" w:rsidRPr="00F236D9">
        <w:rPr>
          <w:lang w:val="en-GB"/>
        </w:rPr>
        <w:t xml:space="preserve">defines </w:t>
      </w:r>
      <w:r w:rsidR="00B92E8C" w:rsidRPr="00F236D9">
        <w:rPr>
          <w:lang w:val="en-GB"/>
        </w:rPr>
        <w:t>how the Company communicates with investors, analysts, and other stakeholders, as well as outlin</w:t>
      </w:r>
      <w:r w:rsidR="00A21A30" w:rsidRPr="00F236D9">
        <w:rPr>
          <w:lang w:val="en-GB"/>
        </w:rPr>
        <w:t>es</w:t>
      </w:r>
      <w:r w:rsidR="00B92E8C" w:rsidRPr="00F236D9">
        <w:rPr>
          <w:lang w:val="en-GB"/>
        </w:rPr>
        <w:t xml:space="preserve"> the investor relations (“IR”) goals and principles for communication and governance. The policy aims to ensure compliance with applicable rules and regulations, while positioning BioMar as a credible, visible, accessible, and professional company in the stock market.</w:t>
      </w:r>
    </w:p>
    <w:p w14:paraId="1A20C186" w14:textId="554F060F" w:rsidR="00BB4923" w:rsidRPr="00F236D9" w:rsidRDefault="00A75507" w:rsidP="00A5401E">
      <w:pPr>
        <w:pStyle w:val="Heading1"/>
        <w:ind w:left="10" w:hanging="10"/>
        <w:rPr>
          <w:lang w:val="en-GB"/>
        </w:rPr>
      </w:pPr>
      <w:r w:rsidRPr="00F236D9">
        <w:rPr>
          <w:lang w:val="en-GB"/>
        </w:rPr>
        <w:t>Equal, timely and adequate disclosure</w:t>
      </w:r>
    </w:p>
    <w:p w14:paraId="7C08C2CC" w14:textId="77777777" w:rsidR="00092F91" w:rsidRPr="00F236D9" w:rsidRDefault="00BB4923" w:rsidP="005C0591">
      <w:pPr>
        <w:spacing w:line="290" w:lineRule="auto"/>
        <w:ind w:left="703" w:right="0" w:hanging="703"/>
        <w:rPr>
          <w:lang w:val="en-GB"/>
        </w:rPr>
      </w:pPr>
      <w:r w:rsidRPr="00F236D9">
        <w:rPr>
          <w:bCs/>
          <w:szCs w:val="22"/>
          <w:lang w:val="en-GB"/>
        </w:rPr>
        <w:t>2.1</w:t>
      </w:r>
      <w:r w:rsidRPr="00F236D9">
        <w:rPr>
          <w:lang w:val="en-GB"/>
        </w:rPr>
        <w:tab/>
      </w:r>
      <w:r w:rsidR="004F6CFA" w:rsidRPr="00F236D9">
        <w:rPr>
          <w:lang w:val="en-GB"/>
        </w:rPr>
        <w:t>BioMar’s overall goals for its IR activities are to ensure:</w:t>
      </w:r>
    </w:p>
    <w:p w14:paraId="5CC31C15" w14:textId="77777777" w:rsidR="003E40ED" w:rsidRPr="00F236D9" w:rsidRDefault="003E40ED" w:rsidP="005C0591">
      <w:pPr>
        <w:spacing w:line="290" w:lineRule="auto"/>
        <w:ind w:left="703" w:right="0" w:hanging="703"/>
        <w:rPr>
          <w:lang w:val="en-GB"/>
        </w:rPr>
      </w:pPr>
      <w:r w:rsidRPr="00F236D9">
        <w:rPr>
          <w:lang w:val="en-GB"/>
        </w:rPr>
        <w:t>2.2</w:t>
      </w:r>
      <w:r w:rsidRPr="00F236D9">
        <w:rPr>
          <w:lang w:val="en-GB"/>
        </w:rPr>
        <w:tab/>
      </w:r>
      <w:r w:rsidR="004F6CFA" w:rsidRPr="00F236D9">
        <w:rPr>
          <w:lang w:val="en-GB"/>
        </w:rPr>
        <w:t>Transparent, consistent, equal and timely disclosure of information to facilitate regular trading and fair pricing of the Company’s share.</w:t>
      </w:r>
      <w:r w:rsidR="0010516B" w:rsidRPr="00F236D9">
        <w:rPr>
          <w:lang w:val="en-GB"/>
        </w:rPr>
        <w:t xml:space="preserve"> </w:t>
      </w:r>
    </w:p>
    <w:p w14:paraId="0F0874B7" w14:textId="23EAF164" w:rsidR="00092F91" w:rsidRPr="00F236D9" w:rsidRDefault="003E40ED" w:rsidP="003E40ED">
      <w:pPr>
        <w:ind w:left="705" w:right="0" w:hanging="705"/>
        <w:rPr>
          <w:lang w:val="en-GB"/>
        </w:rPr>
      </w:pPr>
      <w:r w:rsidRPr="00F236D9">
        <w:rPr>
          <w:lang w:val="en-GB"/>
        </w:rPr>
        <w:t>2.3</w:t>
      </w:r>
      <w:r w:rsidRPr="00F236D9">
        <w:rPr>
          <w:lang w:val="en-GB"/>
        </w:rPr>
        <w:tab/>
      </w:r>
      <w:r w:rsidR="004F6CFA" w:rsidRPr="00F236D9">
        <w:rPr>
          <w:lang w:val="en-GB"/>
        </w:rPr>
        <w:t>Access to information about the Company’s strategy, risks, opportunities, financial performance and outlook, enabling investors to make an informed investment decision.</w:t>
      </w:r>
    </w:p>
    <w:p w14:paraId="4D6F1583" w14:textId="6AADC282" w:rsidR="00925507" w:rsidRPr="00F236D9" w:rsidRDefault="00092F91" w:rsidP="00136ED5">
      <w:pPr>
        <w:ind w:left="705" w:right="0" w:hanging="705"/>
        <w:rPr>
          <w:lang w:val="en-GB"/>
        </w:rPr>
      </w:pPr>
      <w:r w:rsidRPr="00F236D9">
        <w:rPr>
          <w:lang w:val="en-GB"/>
        </w:rPr>
        <w:t xml:space="preserve">2.4 </w:t>
      </w:r>
      <w:r w:rsidR="003E40ED" w:rsidRPr="00F236D9">
        <w:rPr>
          <w:lang w:val="en-GB"/>
        </w:rPr>
        <w:tab/>
      </w:r>
      <w:r w:rsidR="004F6CFA" w:rsidRPr="00F236D9">
        <w:rPr>
          <w:lang w:val="en-GB"/>
        </w:rPr>
        <w:t xml:space="preserve">Ensure good corporate governance practices and compliance with applicable rules and regulations for companies listed on Nasdaq Copenhagen. </w:t>
      </w:r>
    </w:p>
    <w:p w14:paraId="3973B34B" w14:textId="23A16581" w:rsidR="00BB4923" w:rsidRPr="00F236D9" w:rsidRDefault="00BB4923" w:rsidP="00BB4923">
      <w:pPr>
        <w:pStyle w:val="Heading1"/>
        <w:ind w:left="705" w:right="0" w:hanging="705"/>
        <w:rPr>
          <w:lang w:val="en-GB"/>
        </w:rPr>
      </w:pPr>
      <w:r w:rsidRPr="00F236D9">
        <w:rPr>
          <w:b/>
          <w:bCs/>
          <w:sz w:val="28"/>
          <w:szCs w:val="28"/>
          <w:lang w:val="en-GB"/>
        </w:rPr>
        <w:t>3</w:t>
      </w:r>
      <w:r w:rsidR="00852C2B" w:rsidRPr="00F236D9">
        <w:rPr>
          <w:b/>
          <w:bCs/>
          <w:sz w:val="28"/>
          <w:szCs w:val="28"/>
          <w:lang w:val="en-GB"/>
        </w:rPr>
        <w:t>.</w:t>
      </w:r>
      <w:r w:rsidRPr="00F236D9">
        <w:rPr>
          <w:b/>
          <w:bCs/>
          <w:sz w:val="28"/>
          <w:szCs w:val="28"/>
          <w:lang w:val="en-GB"/>
        </w:rPr>
        <w:tab/>
      </w:r>
      <w:r w:rsidR="00FB742B" w:rsidRPr="00F236D9">
        <w:rPr>
          <w:b/>
          <w:sz w:val="28"/>
          <w:lang w:val="en-GB"/>
        </w:rPr>
        <w:t>Multi-channel IR communication</w:t>
      </w:r>
    </w:p>
    <w:p w14:paraId="58177BD1" w14:textId="05880D0E" w:rsidR="0055785B" w:rsidRPr="007E619A" w:rsidRDefault="00A318C0" w:rsidP="007E619A">
      <w:pPr>
        <w:numPr>
          <w:ilvl w:val="1"/>
          <w:numId w:val="13"/>
        </w:numPr>
        <w:ind w:left="709" w:right="0" w:hanging="709"/>
        <w:rPr>
          <w:lang w:val="en-GB"/>
        </w:rPr>
      </w:pPr>
      <w:r w:rsidRPr="00F236D9">
        <w:rPr>
          <w:lang w:val="en-GB"/>
        </w:rPr>
        <w:t>BioMar has adopted a multi-channel IR engagement strategy extending beyond regulatory requirements by using a variety for communication formats and platforms:</w:t>
      </w:r>
    </w:p>
    <w:p w14:paraId="30CE3CA3" w14:textId="0DEB202C" w:rsidR="0055785B" w:rsidRPr="007E619A" w:rsidRDefault="00A318C0" w:rsidP="007E619A">
      <w:pPr>
        <w:numPr>
          <w:ilvl w:val="2"/>
          <w:numId w:val="13"/>
        </w:numPr>
        <w:ind w:right="0"/>
        <w:rPr>
          <w:lang w:val="en-GB"/>
        </w:rPr>
      </w:pPr>
      <w:r w:rsidRPr="00F236D9">
        <w:rPr>
          <w:lang w:val="en-GB"/>
        </w:rPr>
        <w:t>The IR website provides a central hub for all IR material published by the Company.</w:t>
      </w:r>
    </w:p>
    <w:p w14:paraId="661401E1" w14:textId="16B3F5EC" w:rsidR="0055785B" w:rsidRPr="007E619A" w:rsidRDefault="00A318C0" w:rsidP="007E619A">
      <w:pPr>
        <w:numPr>
          <w:ilvl w:val="2"/>
          <w:numId w:val="13"/>
        </w:numPr>
        <w:ind w:right="0"/>
        <w:rPr>
          <w:lang w:val="en-GB"/>
        </w:rPr>
      </w:pPr>
      <w:r w:rsidRPr="00F236D9">
        <w:rPr>
          <w:lang w:val="en-GB"/>
        </w:rPr>
        <w:t>An IR distribution system is used to ensure broad distribution of company news and regulatory disclosures to Nasdaq Copenhagen and the Danish Financial Supervisory Authority.</w:t>
      </w:r>
    </w:p>
    <w:p w14:paraId="28F72783" w14:textId="53A00FDF" w:rsidR="0055785B" w:rsidRPr="007E619A" w:rsidRDefault="00A318C0" w:rsidP="007E619A">
      <w:pPr>
        <w:numPr>
          <w:ilvl w:val="2"/>
          <w:numId w:val="13"/>
        </w:numPr>
        <w:ind w:right="0"/>
        <w:rPr>
          <w:lang w:val="en-GB"/>
        </w:rPr>
      </w:pPr>
      <w:r w:rsidRPr="00F236D9">
        <w:rPr>
          <w:lang w:val="en-GB"/>
        </w:rPr>
        <w:t>Online quarterly earnings calls are conducted to provide broad investor access to management presentations of financial results.</w:t>
      </w:r>
    </w:p>
    <w:p w14:paraId="3F7DADF9" w14:textId="0D42E227" w:rsidR="00500A51" w:rsidRPr="007E619A" w:rsidRDefault="00A318C0" w:rsidP="007E619A">
      <w:pPr>
        <w:numPr>
          <w:ilvl w:val="2"/>
          <w:numId w:val="13"/>
        </w:numPr>
        <w:ind w:right="0"/>
        <w:rPr>
          <w:lang w:val="en-GB"/>
        </w:rPr>
      </w:pPr>
      <w:r w:rsidRPr="00F236D9">
        <w:rPr>
          <w:lang w:val="en-GB"/>
        </w:rPr>
        <w:t>Digital live streaming of general meetings is provided to ease shareholder participation.</w:t>
      </w:r>
    </w:p>
    <w:p w14:paraId="2EE4E803" w14:textId="78206D14" w:rsidR="005C0591" w:rsidRDefault="00A318C0" w:rsidP="005B1DEE">
      <w:pPr>
        <w:numPr>
          <w:ilvl w:val="2"/>
          <w:numId w:val="13"/>
        </w:numPr>
        <w:ind w:right="0"/>
        <w:rPr>
          <w:lang w:val="en-GB"/>
        </w:rPr>
      </w:pPr>
      <w:r w:rsidRPr="00F236D9">
        <w:rPr>
          <w:lang w:val="en-GB"/>
        </w:rPr>
        <w:t>Social media channels are used to enhance visibility of published investor news.</w:t>
      </w:r>
    </w:p>
    <w:p w14:paraId="1A20B9C5" w14:textId="77777777" w:rsidR="007E619A" w:rsidRDefault="007E619A" w:rsidP="007E619A">
      <w:pPr>
        <w:ind w:left="502" w:right="0" w:firstLine="0"/>
        <w:rPr>
          <w:lang w:val="en-GB"/>
        </w:rPr>
      </w:pPr>
    </w:p>
    <w:p w14:paraId="74B94448" w14:textId="77777777" w:rsidR="007E619A" w:rsidRPr="005B1DEE" w:rsidRDefault="007E619A" w:rsidP="007E619A">
      <w:pPr>
        <w:ind w:left="502" w:right="0" w:firstLine="0"/>
        <w:rPr>
          <w:lang w:val="en-GB"/>
        </w:rPr>
      </w:pPr>
    </w:p>
    <w:p w14:paraId="209438D0" w14:textId="18EA52DB" w:rsidR="00E109A7" w:rsidRPr="005B1DEE" w:rsidRDefault="00911D67" w:rsidP="005B1DEE">
      <w:pPr>
        <w:pStyle w:val="Heading1"/>
        <w:numPr>
          <w:ilvl w:val="0"/>
          <w:numId w:val="13"/>
        </w:numPr>
        <w:ind w:right="0"/>
        <w:rPr>
          <w:b/>
          <w:bCs/>
          <w:sz w:val="28"/>
          <w:szCs w:val="28"/>
          <w:lang w:val="en-GB"/>
        </w:rPr>
      </w:pPr>
      <w:r w:rsidRPr="00F236D9">
        <w:rPr>
          <w:b/>
          <w:sz w:val="28"/>
          <w:szCs w:val="28"/>
          <w:lang w:val="en-GB"/>
        </w:rPr>
        <w:t>4.</w:t>
        <w:tab/>
        <w:t>Active investor engagement</w:t>
      </w:r>
      <w:r w:rsidRPr="00F236D9">
        <w:rPr>
          <w:b/>
          <w:sz w:val="28"/>
          <w:szCs w:val="28"/>
          <w:lang w:val="en-GB"/>
        </w:rPr>
        <w:tab/>
      </w:r>
    </w:p>
    <w:p w14:paraId="4F88EA8E" w14:textId="19017CD7" w:rsidR="00E109A7" w:rsidRPr="005B1DEE" w:rsidRDefault="00E109A7" w:rsidP="005B1DEE">
      <w:pPr>
        <w:numPr>
          <w:ilvl w:val="1"/>
          <w:numId w:val="13"/>
        </w:numPr>
        <w:ind w:right="0" w:hanging="502"/>
        <w:rPr>
          <w:b/>
          <w:bCs/>
          <w:sz w:val="28"/>
          <w:szCs w:val="28"/>
          <w:lang w:val="en-GB"/>
        </w:rPr>
      </w:pPr>
      <w:r w:rsidRPr="00F236D9">
        <w:rPr>
          <w:lang w:val="en-GB"/>
        </w:rPr>
        <w:t>B</w:t>
      </w:r>
      <w:r w:rsidR="00DF00AD" w:rsidRPr="00F236D9">
        <w:rPr>
          <w:lang w:val="en-GB"/>
        </w:rPr>
        <w:t xml:space="preserve">ioMar maintains an open, honest, and consistent dialogue with investors and analysts, subject to compliance with EU’s Market Abuse Regulation (“MAR”). </w:t>
      </w:r>
    </w:p>
    <w:p w14:paraId="56B9F087" w14:textId="45A36CF5" w:rsidR="00E109A7" w:rsidRPr="005B1DEE" w:rsidRDefault="00DF00AD" w:rsidP="005B1DEE">
      <w:pPr>
        <w:numPr>
          <w:ilvl w:val="1"/>
          <w:numId w:val="13"/>
        </w:numPr>
        <w:spacing w:line="290" w:lineRule="auto"/>
        <w:ind w:left="505" w:right="0" w:hanging="505"/>
        <w:jc w:val="left"/>
        <w:rPr>
          <w:lang w:val="en-GB"/>
        </w:rPr>
      </w:pPr>
      <w:r>
        <w:t>Investor and analyst meetings are conducted to provide background information and better understanding of the Company’s strategy, operations, and financials. Activities include, but are not limited to:</w:t>
      </w:r>
    </w:p>
    <w:p>
      <w:pPr>
        <w:pStyle w:val="ListParagraph"/>
      </w:pPr>
      <w:r>
        <w:t>Investor and analyst one-on-one meetings, group meetings, and conference calls</w:t>
      </w:r>
    </w:p>
    <w:p>
      <w:pPr>
        <w:pStyle w:val="ListParagraph"/>
      </w:pPr>
      <w:r>
        <w:t>Investor presentations</w:t>
      </w:r>
    </w:p>
    <w:p>
      <w:pPr>
        <w:pStyle w:val="ListParagraph"/>
      </w:pPr>
      <w:r>
        <w:t>Investor roadshows</w:t>
      </w:r>
    </w:p>
    <w:p>
      <w:pPr>
        <w:pStyle w:val="ListParagraph"/>
      </w:pPr>
      <w:r>
        <w:t>Capital Market Days and similar events</w:t>
      </w:r>
    </w:p>
    <w:p>
      <w:pPr>
        <w:pStyle w:val="ListParagraph"/>
      </w:pPr>
      <w:r>
        <w:t>Quarterly online earnings calls targeting institutional investors</w:t>
      </w:r>
    </w:p>
    <w:p>
      <w:pPr>
        <w:pStyle w:val="ListParagraph"/>
      </w:pPr>
      <w:r>
        <w:t>Online presentations targeting retail investors</w:t>
      </w:r>
    </w:p>
    <w:p w14:paraId="6E77B63F" w14:textId="56030BB9" w:rsidR="00E109A7" w:rsidRPr="005B1DEE" w:rsidRDefault="00DF00AD" w:rsidP="005B1DEE">
      <w:pPr>
        <w:numPr>
          <w:ilvl w:val="1"/>
          <w:numId w:val="13"/>
        </w:numPr>
        <w:ind w:hanging="502"/>
        <w:rPr>
          <w:lang w:val="en-GB"/>
        </w:rPr>
      </w:pPr>
      <w:r w:rsidRPr="00F236D9">
        <w:rPr>
          <w:lang w:val="en-GB"/>
        </w:rPr>
        <w:t xml:space="preserve">All relevant presentations will be made available on the Company’s website. </w:t>
      </w:r>
    </w:p>
    <w:p w14:paraId="33D7BDE5" w14:textId="3D82E99B" w:rsidR="005C75EB" w:rsidRPr="005B1DEE" w:rsidRDefault="00DF00AD" w:rsidP="005B1DEE">
      <w:pPr>
        <w:numPr>
          <w:ilvl w:val="1"/>
          <w:numId w:val="13"/>
        </w:numPr>
        <w:ind w:hanging="502"/>
        <w:rPr>
          <w:lang w:val="en-GB"/>
        </w:rPr>
      </w:pPr>
      <w:r w:rsidRPr="00F236D9">
        <w:rPr>
          <w:lang w:val="en-GB"/>
        </w:rPr>
        <w:t>A silent period of four weeks is observed before the publication of annual and interim financial results. The Company will refrain from participating in the above-mentioned activities in the silent period.</w:t>
      </w:r>
    </w:p>
    <w:p w14:paraId="5C8BBA93" w14:textId="1522B10A" w:rsidR="00085DDA" w:rsidRPr="005B1DEE" w:rsidRDefault="00D4600A" w:rsidP="005B1DEE">
      <w:pPr>
        <w:pStyle w:val="Heading1"/>
        <w:numPr>
          <w:ilvl w:val="0"/>
          <w:numId w:val="13"/>
        </w:numPr>
        <w:rPr>
          <w:b/>
          <w:bCs/>
          <w:sz w:val="28"/>
          <w:szCs w:val="28"/>
          <w:lang w:val="en-GB"/>
        </w:rPr>
      </w:pPr>
      <w:r w:rsidRPr="00F236D9">
        <w:rPr>
          <w:b/>
          <w:bCs/>
          <w:sz w:val="28"/>
          <w:szCs w:val="28"/>
          <w:lang w:val="en-GB"/>
        </w:rPr>
        <w:t>5.</w:t>
        <w:tab/>
        <w:t>Strong IR governance and compliance</w:t>
      </w:r>
    </w:p>
    <w:p w14:paraId="3A8094AC" w14:textId="629ED3F6" w:rsidR="00080B8E" w:rsidRPr="00F236D9" w:rsidRDefault="00080B8E" w:rsidP="00D76AD4">
      <w:pPr>
        <w:numPr>
          <w:ilvl w:val="1"/>
          <w:numId w:val="13"/>
        </w:numPr>
        <w:ind w:right="0" w:hanging="502"/>
        <w:rPr>
          <w:lang w:val="en-GB"/>
        </w:rPr>
      </w:pPr>
      <w:r w:rsidRPr="00F236D9">
        <w:rPr>
          <w:lang w:val="en-GB"/>
        </w:rPr>
        <w:t>The following persons are authorized to communicate with investors, analysts and other financial</w:t>
      </w:r>
      <w:r w:rsidR="00085DDA" w:rsidRPr="00F236D9">
        <w:rPr>
          <w:lang w:val="en-GB"/>
        </w:rPr>
        <w:t xml:space="preserve"> </w:t>
      </w:r>
      <w:r w:rsidRPr="00F236D9">
        <w:rPr>
          <w:lang w:val="en-GB"/>
        </w:rPr>
        <w:t>stakeholders on behalf of the Company:</w:t>
      </w:r>
    </w:p>
    <w:p w14:paraId="71D453C3" w14:textId="77777777" w:rsidR="00080B8E" w:rsidRPr="00F236D9" w:rsidRDefault="00080B8E" w:rsidP="002E3B1D">
      <w:pPr>
        <w:pStyle w:val="ListParagraph"/>
        <w:spacing w:line="290" w:lineRule="auto"/>
        <w:ind w:left="703" w:right="0" w:hanging="136"/>
        <w:contextualSpacing/>
        <w:rPr>
          <w:lang w:val="en-GB"/>
        </w:rPr>
      </w:pPr>
      <w:r w:rsidRPr="00F236D9">
        <w:rPr>
          <w:lang w:val="en-GB"/>
        </w:rPr>
        <w:t xml:space="preserve">The Chair of the Board of Directors, </w:t>
      </w:r>
    </w:p>
    <w:p w14:paraId="799E5267" w14:textId="77777777" w:rsidR="00080B8E" w:rsidRPr="00F236D9" w:rsidRDefault="00080B8E" w:rsidP="002E3B1D">
      <w:pPr>
        <w:pStyle w:val="ListParagraph"/>
        <w:spacing w:line="290" w:lineRule="auto"/>
        <w:ind w:left="703" w:right="0" w:hanging="136"/>
        <w:contextualSpacing/>
        <w:rPr>
          <w:lang w:val="en-GB"/>
        </w:rPr>
      </w:pPr>
      <w:r w:rsidRPr="00F236D9">
        <w:rPr>
          <w:lang w:val="en-GB"/>
        </w:rPr>
        <w:t>The Executive Management,</w:t>
      </w:r>
    </w:p>
    <w:p w14:paraId="49CC2F48" w14:textId="77777777" w:rsidR="00080B8E" w:rsidRPr="00F236D9" w:rsidRDefault="00080B8E" w:rsidP="002E3B1D">
      <w:pPr>
        <w:pStyle w:val="ListParagraph"/>
        <w:spacing w:line="290" w:lineRule="auto"/>
        <w:ind w:left="703" w:right="0" w:hanging="136"/>
        <w:contextualSpacing/>
        <w:rPr>
          <w:lang w:val="en-GB"/>
        </w:rPr>
      </w:pPr>
      <w:r w:rsidRPr="00F236D9">
        <w:rPr>
          <w:lang w:val="en-GB"/>
        </w:rPr>
        <w:t>The VP, People, Purpose &amp; Communication,</w:t>
      </w:r>
    </w:p>
    <w:p w14:paraId="393EAC5B" w14:textId="2131FA85" w:rsidR="00080B8E" w:rsidRPr="00F236D9" w:rsidRDefault="00080B8E" w:rsidP="002E3B1D">
      <w:pPr>
        <w:pStyle w:val="ListParagraph"/>
        <w:spacing w:line="290" w:lineRule="auto"/>
        <w:ind w:left="703" w:right="0" w:hanging="136"/>
        <w:contextualSpacing/>
        <w:rPr>
          <w:lang w:val="en-GB"/>
        </w:rPr>
      </w:pPr>
      <w:r w:rsidRPr="00F236D9">
        <w:rPr>
          <w:lang w:val="en-GB"/>
        </w:rPr>
        <w:t>The I</w:t>
      </w:r>
      <w:r w:rsidR="00945EE9">
        <w:rPr>
          <w:lang w:val="en-GB"/>
        </w:rPr>
        <w:t xml:space="preserve">nvestor </w:t>
      </w:r>
      <w:r w:rsidRPr="00F236D9">
        <w:rPr>
          <w:lang w:val="en-GB"/>
        </w:rPr>
        <w:t>R</w:t>
      </w:r>
      <w:r w:rsidR="00945EE9">
        <w:rPr>
          <w:lang w:val="en-GB"/>
        </w:rPr>
        <w:t>elation</w:t>
      </w:r>
      <w:r w:rsidR="007E619A">
        <w:rPr>
          <w:lang w:val="en-GB"/>
        </w:rPr>
        <w:t>s</w:t>
      </w:r>
      <w:r w:rsidRPr="00F236D9">
        <w:rPr>
          <w:lang w:val="en-GB"/>
        </w:rPr>
        <w:t>, and</w:t>
      </w:r>
    </w:p>
    <w:p w14:paraId="0F39FA61" w14:textId="6FFF2589" w:rsidR="00236E17" w:rsidRDefault="00080B8E" w:rsidP="00A10A5F">
      <w:pPr>
        <w:pStyle w:val="ListParagraph"/>
        <w:spacing w:line="290" w:lineRule="auto"/>
        <w:ind w:left="703" w:right="0" w:hanging="136"/>
        <w:contextualSpacing/>
        <w:rPr>
          <w:lang w:val="en-GB"/>
        </w:rPr>
      </w:pPr>
      <w:r w:rsidRPr="00F236D9">
        <w:rPr>
          <w:lang w:val="en-GB"/>
        </w:rPr>
        <w:t>Other persons authorized to do so on a particular matter.</w:t>
      </w:r>
    </w:p>
    <w:p w14:paraId="596E15DC" w14:textId="77777777" w:rsidR="00A10A5F" w:rsidRDefault="00A10A5F" w:rsidP="00A10A5F">
      <w:pPr>
        <w:spacing w:line="290" w:lineRule="auto"/>
        <w:ind w:left="703" w:right="0" w:hanging="136"/>
        <w:contextualSpacing/>
        <w:rPr>
          <w:lang w:val="en-GB"/>
        </w:rPr>
      </w:pPr>
    </w:p>
    <w:p w14:paraId="6D5EC19D" w14:textId="532A0CCD" w:rsidR="00080B8E" w:rsidRPr="00F236D9" w:rsidRDefault="00080B8E" w:rsidP="00D76AD4">
      <w:pPr>
        <w:numPr>
          <w:ilvl w:val="1"/>
          <w:numId w:val="13"/>
        </w:numPr>
        <w:ind w:right="0" w:hanging="502"/>
        <w:rPr>
          <w:lang w:val="en-GB"/>
        </w:rPr>
      </w:pPr>
      <w:r w:rsidRPr="00F236D9">
        <w:rPr>
          <w:lang w:val="en-GB"/>
        </w:rPr>
        <w:t>Investor activities and disclosure obligations in BioMar are governed as follows:</w:t>
      </w:r>
    </w:p>
    <w:p w14:paraId="673689C9" w14:textId="77777777" w:rsidR="00080B8E" w:rsidRPr="00F236D9" w:rsidRDefault="00080B8E" w:rsidP="0013679B">
      <w:pPr>
        <w:pStyle w:val="ListParagraph"/>
        <w:spacing w:line="290" w:lineRule="auto"/>
        <w:ind w:left="703" w:right="0" w:hanging="136"/>
        <w:rPr>
          <w:lang w:val="en-GB"/>
        </w:rPr>
      </w:pPr>
      <w:r w:rsidRPr="00F236D9">
        <w:rPr>
          <w:lang w:val="en-GB"/>
        </w:rPr>
        <w:t>The Board of Directors and Executive Management have overall responsibility for adequate disclosure.</w:t>
      </w:r>
    </w:p>
    <w:p w14:paraId="3250D7A3" w14:textId="4379C27E" w:rsidR="00080B8E" w:rsidRPr="00F236D9" w:rsidRDefault="00080B8E" w:rsidP="0013679B">
      <w:pPr>
        <w:pStyle w:val="ListParagraph"/>
        <w:spacing w:line="290" w:lineRule="auto"/>
        <w:ind w:left="703" w:right="0" w:hanging="136"/>
        <w:rPr>
          <w:lang w:val="en-GB"/>
        </w:rPr>
      </w:pPr>
      <w:r w:rsidRPr="00F236D9">
        <w:rPr>
          <w:lang w:val="en-GB"/>
        </w:rPr>
        <w:t xml:space="preserve">A Disclosure Committee consisting of </w:t>
      </w:r>
      <w:r w:rsidR="00523C7E">
        <w:rPr>
          <w:lang w:val="en-GB"/>
        </w:rPr>
        <w:t>the CE</w:t>
      </w:r>
      <w:r w:rsidR="000A3CFE">
        <w:rPr>
          <w:lang w:val="en-GB"/>
        </w:rPr>
        <w:t xml:space="preserve">O, </w:t>
      </w:r>
      <w:r w:rsidRPr="00F236D9">
        <w:rPr>
          <w:lang w:val="en-GB"/>
        </w:rPr>
        <w:t xml:space="preserve">the CFO, </w:t>
      </w:r>
      <w:r w:rsidR="00752280">
        <w:rPr>
          <w:lang w:val="en-GB"/>
        </w:rPr>
        <w:t>the</w:t>
      </w:r>
      <w:r w:rsidR="001F5DAC">
        <w:rPr>
          <w:lang w:val="en-GB"/>
        </w:rPr>
        <w:t xml:space="preserve"> </w:t>
      </w:r>
      <w:r w:rsidRPr="00F236D9">
        <w:rPr>
          <w:lang w:val="en-GB"/>
        </w:rPr>
        <w:t xml:space="preserve">Chief Legal Officer, </w:t>
      </w:r>
      <w:r w:rsidR="0041279A">
        <w:rPr>
          <w:lang w:val="en-GB"/>
        </w:rPr>
        <w:t>VP</w:t>
      </w:r>
      <w:r w:rsidR="006208A1">
        <w:rPr>
          <w:lang w:val="en-GB"/>
        </w:rPr>
        <w:t xml:space="preserve"> </w:t>
      </w:r>
      <w:r w:rsidR="002A591B">
        <w:rPr>
          <w:lang w:val="en-GB"/>
        </w:rPr>
        <w:t>Stra</w:t>
      </w:r>
      <w:r w:rsidR="00C72E01">
        <w:rPr>
          <w:lang w:val="en-GB"/>
        </w:rPr>
        <w:t>te</w:t>
      </w:r>
      <w:r w:rsidR="00345E93">
        <w:rPr>
          <w:lang w:val="en-GB"/>
        </w:rPr>
        <w:t>gy</w:t>
      </w:r>
      <w:r w:rsidR="004873D3">
        <w:rPr>
          <w:lang w:val="en-GB"/>
        </w:rPr>
        <w:t>, B</w:t>
      </w:r>
      <w:r w:rsidR="008D449A">
        <w:rPr>
          <w:lang w:val="en-GB"/>
        </w:rPr>
        <w:t>usines</w:t>
      </w:r>
      <w:r w:rsidR="003B4FF7">
        <w:rPr>
          <w:lang w:val="en-GB"/>
        </w:rPr>
        <w:t>s De</w:t>
      </w:r>
      <w:r w:rsidR="00791054">
        <w:rPr>
          <w:lang w:val="en-GB"/>
        </w:rPr>
        <w:t>v</w:t>
      </w:r>
      <w:r w:rsidR="00986844">
        <w:rPr>
          <w:lang w:val="en-GB"/>
        </w:rPr>
        <w:t>elop</w:t>
      </w:r>
      <w:r w:rsidR="002812B6">
        <w:rPr>
          <w:lang w:val="en-GB"/>
        </w:rPr>
        <w:t>ment</w:t>
      </w:r>
      <w:r w:rsidR="00546FFB">
        <w:rPr>
          <w:lang w:val="en-GB"/>
        </w:rPr>
        <w:t xml:space="preserve"> </w:t>
      </w:r>
      <w:r w:rsidR="00FB0190">
        <w:rPr>
          <w:lang w:val="en-GB"/>
        </w:rPr>
        <w:t xml:space="preserve">&amp; </w:t>
      </w:r>
      <w:r w:rsidR="00D37341">
        <w:rPr>
          <w:lang w:val="en-GB"/>
        </w:rPr>
        <w:t>M</w:t>
      </w:r>
      <w:r w:rsidR="006E1880">
        <w:rPr>
          <w:lang w:val="en-GB"/>
        </w:rPr>
        <w:t>&amp;A</w:t>
      </w:r>
      <w:r w:rsidR="00AD5DFC">
        <w:rPr>
          <w:lang w:val="en-GB"/>
        </w:rPr>
        <w:t xml:space="preserve"> an</w:t>
      </w:r>
      <w:r w:rsidR="00D443CD">
        <w:rPr>
          <w:lang w:val="en-GB"/>
        </w:rPr>
        <w:t xml:space="preserve">d </w:t>
      </w:r>
      <w:r w:rsidRPr="00F236D9">
        <w:rPr>
          <w:lang w:val="en-GB"/>
        </w:rPr>
        <w:t>VP People, Purpose &amp; Communication</w:t>
      </w:r>
      <w:r w:rsidR="00301464">
        <w:rPr>
          <w:lang w:val="en-GB"/>
        </w:rPr>
        <w:t xml:space="preserve"> </w:t>
      </w:r>
      <w:r w:rsidRPr="00F236D9">
        <w:rPr>
          <w:lang w:val="en-GB"/>
        </w:rPr>
        <w:t>shall assist with ensuring compliant disclosure.</w:t>
      </w:r>
    </w:p>
    <w:p w14:paraId="78D7299F" w14:textId="01DEDE28" w:rsidR="00D4600A" w:rsidRPr="00F236D9" w:rsidRDefault="00080B8E" w:rsidP="0013679B">
      <w:pPr>
        <w:pStyle w:val="ListParagraph"/>
        <w:spacing w:line="290" w:lineRule="auto"/>
        <w:ind w:left="703" w:right="0" w:hanging="136"/>
        <w:rPr>
          <w:lang w:val="en-GB"/>
        </w:rPr>
      </w:pPr>
      <w:r w:rsidRPr="00F236D9">
        <w:rPr>
          <w:lang w:val="en-GB"/>
        </w:rPr>
        <w:t>The</w:t>
      </w:r>
      <w:r w:rsidR="000E04DA">
        <w:rPr>
          <w:lang w:val="en-GB"/>
        </w:rPr>
        <w:t xml:space="preserve"> </w:t>
      </w:r>
      <w:r w:rsidR="00DF2ED8">
        <w:rPr>
          <w:lang w:val="en-GB"/>
        </w:rPr>
        <w:t>Investor</w:t>
      </w:r>
      <w:r w:rsidRPr="00F236D9">
        <w:rPr>
          <w:lang w:val="en-GB"/>
        </w:rPr>
        <w:t xml:space="preserve"> R</w:t>
      </w:r>
      <w:r w:rsidR="00DF2ED8">
        <w:rPr>
          <w:lang w:val="en-GB"/>
        </w:rPr>
        <w:t>elation</w:t>
      </w:r>
      <w:r w:rsidR="00BC1AB0">
        <w:rPr>
          <w:lang w:val="en-GB"/>
        </w:rPr>
        <w:t>s</w:t>
      </w:r>
      <w:r w:rsidRPr="00F236D9">
        <w:rPr>
          <w:lang w:val="en-GB"/>
        </w:rPr>
        <w:t>, reporting to the CFO, is responsible for managing investor relations activities in BioMar.</w:t>
      </w:r>
    </w:p>
    <w:p w14:paraId="2CA71520" w14:textId="77777777" w:rsidR="00534F9D" w:rsidRPr="00F236D9" w:rsidRDefault="00534F9D" w:rsidP="00534F9D">
      <w:pPr>
        <w:spacing w:after="0"/>
        <w:ind w:left="705" w:right="0" w:hanging="138"/>
        <w:rPr>
          <w:lang w:val="en-GB"/>
        </w:rPr>
      </w:pPr>
    </w:p>
    <w:p w14:paraId="184F30F2" w14:textId="40B678A2" w:rsidR="00534F9D" w:rsidRPr="00A10A5F" w:rsidRDefault="009E6021" w:rsidP="00A10A5F">
      <w:pPr>
        <w:pStyle w:val="Heading1"/>
        <w:numPr>
          <w:ilvl w:val="0"/>
          <w:numId w:val="13"/>
        </w:numPr>
        <w:rPr>
          <w:b/>
          <w:bCs/>
          <w:sz w:val="28"/>
          <w:szCs w:val="28"/>
          <w:lang w:val="en-GB"/>
        </w:rPr>
      </w:pPr>
      <w:r w:rsidRPr="00F236D9">
        <w:rPr>
          <w:b/>
          <w:bCs/>
          <w:sz w:val="28"/>
          <w:szCs w:val="28"/>
          <w:lang w:val="en-GB"/>
        </w:rPr>
        <w:t>6.</w:t>
        <w:tab/>
        <w:t>Strong IR governance and compliance</w:t>
      </w:r>
    </w:p>
    <w:p w14:paraId="3FCF5BAF" w14:textId="458A1B5F" w:rsidR="00682BC7" w:rsidRPr="00A10A5F" w:rsidRDefault="00640B3C" w:rsidP="00A10A5F">
      <w:pPr>
        <w:numPr>
          <w:ilvl w:val="1"/>
          <w:numId w:val="13"/>
        </w:numPr>
        <w:spacing w:line="290" w:lineRule="auto"/>
        <w:ind w:right="6" w:hanging="502"/>
        <w:rPr>
          <w:lang w:val="en-GB"/>
        </w:rPr>
      </w:pPr>
      <w:r w:rsidRPr="00F236D9">
        <w:rPr>
          <w:lang w:val="en-GB"/>
        </w:rPr>
        <w:t xml:space="preserve">BioMar publishes company announcements in accordance with applicable law and regulation, and the rules for companies listed on Nasdaq Copenhagen. </w:t>
      </w:r>
    </w:p>
    <w:p w14:paraId="34221C34" w14:textId="6D93D98C" w:rsidR="00682BC7" w:rsidRPr="00A10A5F" w:rsidRDefault="00640B3C" w:rsidP="00A10A5F">
      <w:pPr>
        <w:numPr>
          <w:ilvl w:val="1"/>
          <w:numId w:val="13"/>
        </w:numPr>
        <w:spacing w:line="290" w:lineRule="auto"/>
        <w:ind w:right="6" w:hanging="502"/>
        <w:rPr>
          <w:lang w:val="en-GB"/>
        </w:rPr>
      </w:pPr>
      <w:r w:rsidRPr="00F236D9">
        <w:rPr>
          <w:lang w:val="en-GB"/>
        </w:rPr>
        <w:t>All company announcements, financial reports, investor presentations, and other investor material are available on the company’s IR website.</w:t>
      </w:r>
    </w:p>
    <w:p w14:paraId="29FE2C07" w14:textId="74123E97" w:rsidR="00682BC7" w:rsidRPr="00A10A5F" w:rsidRDefault="00640B3C" w:rsidP="00A10A5F">
      <w:pPr>
        <w:numPr>
          <w:ilvl w:val="1"/>
          <w:numId w:val="13"/>
        </w:numPr>
        <w:spacing w:line="290" w:lineRule="auto"/>
        <w:ind w:right="6" w:hanging="502"/>
        <w:rPr>
          <w:lang w:val="en-GB"/>
        </w:rPr>
      </w:pPr>
      <w:r w:rsidRPr="00F236D9">
        <w:rPr>
          <w:lang w:val="en-GB"/>
        </w:rPr>
        <w:t>Additionally, BioMar makes use of press releases, investor news, the company website, and social media channels to keep investors updated on non-regulatory news flow.</w:t>
      </w:r>
    </w:p>
    <w:p w14:paraId="3D070819" w14:textId="734E976E" w:rsidR="00682BC7" w:rsidRPr="00A10A5F" w:rsidRDefault="00640B3C" w:rsidP="00A10A5F">
      <w:pPr>
        <w:numPr>
          <w:ilvl w:val="1"/>
          <w:numId w:val="13"/>
        </w:numPr>
        <w:spacing w:line="290" w:lineRule="auto"/>
        <w:ind w:right="6" w:hanging="502"/>
        <w:rPr>
          <w:lang w:val="en-GB"/>
        </w:rPr>
      </w:pPr>
      <w:r w:rsidRPr="00F236D9">
        <w:rPr>
          <w:lang w:val="en-GB"/>
        </w:rPr>
        <w:t xml:space="preserve">The Company provides guidance to the investment community in the form of forward-looking statements regarding expected future revenues and earnings. However, the Company will not comment on the likelihood that it will meet, exceed, or fall short of its guidance in terms of revenues or earnings. </w:t>
      </w:r>
    </w:p>
    <w:p w14:paraId="726F2156" w14:textId="46D6D140" w:rsidR="00682BC7" w:rsidRPr="00A10A5F" w:rsidRDefault="00640B3C" w:rsidP="00A10A5F">
      <w:pPr>
        <w:numPr>
          <w:ilvl w:val="1"/>
          <w:numId w:val="13"/>
        </w:numPr>
        <w:spacing w:line="290" w:lineRule="auto"/>
        <w:ind w:right="6" w:hanging="502"/>
        <w:rPr>
          <w:lang w:val="en-GB"/>
        </w:rPr>
      </w:pPr>
      <w:r w:rsidRPr="00F236D9">
        <w:rPr>
          <w:lang w:val="en-GB"/>
        </w:rPr>
        <w:t>Further, the Company will not comment on the likelihood that it will meet, exceed, or fall short of equity analysts’ estimates, either on an individual or consensus basis.</w:t>
      </w:r>
    </w:p>
    <w:p w14:paraId="0B2698B1" w14:textId="3740B590" w:rsidR="00640B3C" w:rsidRPr="00A10A5F" w:rsidRDefault="00640B3C" w:rsidP="00A10A5F">
      <w:pPr>
        <w:numPr>
          <w:ilvl w:val="1"/>
          <w:numId w:val="13"/>
        </w:numPr>
        <w:spacing w:line="290" w:lineRule="auto"/>
        <w:ind w:right="6" w:hanging="502"/>
        <w:rPr>
          <w:lang w:val="en-GB"/>
        </w:rPr>
      </w:pPr>
      <w:r w:rsidRPr="00F236D9">
        <w:rPr>
          <w:lang w:val="en-GB"/>
        </w:rPr>
        <w:t xml:space="preserve">In addition, the Company will not comment on share price movement of the Company and will refrain from commenting on market rumors or speculative inquiries. </w:t>
      </w:r>
    </w:p>
    <w:p w14:paraId="1B8ABD85" w14:textId="56F421B9" w:rsidR="0013679B" w:rsidRPr="00A10A5F" w:rsidRDefault="005951F8" w:rsidP="00A10A5F">
      <w:pPr>
        <w:pStyle w:val="Heading1"/>
        <w:numPr>
          <w:ilvl w:val="0"/>
          <w:numId w:val="13"/>
        </w:numPr>
        <w:spacing w:after="190" w:line="259" w:lineRule="auto"/>
        <w:ind w:left="567" w:right="0" w:hanging="567"/>
        <w:rPr>
          <w:b/>
          <w:bCs/>
          <w:sz w:val="28"/>
          <w:szCs w:val="28"/>
          <w:lang w:val="en-GB"/>
        </w:rPr>
      </w:pPr>
      <w:r w:rsidRPr="00F236D9">
        <w:rPr>
          <w:b/>
          <w:bCs/>
          <w:sz w:val="28"/>
          <w:szCs w:val="28"/>
          <w:lang w:val="en-GB"/>
        </w:rPr>
        <w:t>7.</w:t>
        <w:tab/>
        <w:t>Adoption and publication</w:t>
      </w:r>
    </w:p>
    <w:p w14:paraId="06F9838F" w14:textId="5005AB02" w:rsidR="00B240AB" w:rsidRPr="00A10A5F" w:rsidRDefault="005951F8" w:rsidP="00A10A5F">
      <w:pPr>
        <w:numPr>
          <w:ilvl w:val="1"/>
          <w:numId w:val="13"/>
        </w:numPr>
        <w:ind w:hanging="502"/>
        <w:rPr>
          <w:lang w:val="en-GB"/>
        </w:rPr>
      </w:pPr>
      <w:r w:rsidRPr="00F236D9">
        <w:rPr>
          <w:lang w:val="en-GB"/>
        </w:rPr>
        <w:t xml:space="preserve">The </w:t>
      </w:r>
      <w:r w:rsidR="00640B3C" w:rsidRPr="00F236D9">
        <w:rPr>
          <w:lang w:val="en-GB"/>
        </w:rPr>
        <w:t>IR</w:t>
      </w:r>
      <w:r w:rsidRPr="00F236D9">
        <w:rPr>
          <w:lang w:val="en-GB"/>
        </w:rPr>
        <w:t xml:space="preserve"> Policy has been adopted </w:t>
      </w:r>
      <w:r w:rsidR="004A1F31" w:rsidRPr="00F236D9">
        <w:rPr>
          <w:lang w:val="en-GB"/>
        </w:rPr>
        <w:t>by the Board of Directors</w:t>
      </w:r>
      <w:r w:rsidR="00525B47">
        <w:rPr>
          <w:lang w:val="en-GB"/>
        </w:rPr>
        <w:t xml:space="preserve"> on 19 May 2026</w:t>
      </w:r>
      <w:r w:rsidR="004A1F31" w:rsidRPr="00F236D9">
        <w:rPr>
          <w:lang w:val="en-GB"/>
        </w:rPr>
        <w:t>.</w:t>
      </w:r>
    </w:p>
    <w:p w14:paraId="2AD03F92" w14:textId="46FCBA85" w:rsidR="00566EDD" w:rsidRPr="00F236D9" w:rsidRDefault="00566EDD" w:rsidP="00D76AD4">
      <w:pPr>
        <w:numPr>
          <w:ilvl w:val="1"/>
          <w:numId w:val="13"/>
        </w:numPr>
        <w:ind w:hanging="502"/>
        <w:rPr>
          <w:lang w:val="en-GB"/>
        </w:rPr>
      </w:pPr>
      <w:r w:rsidRPr="00F236D9">
        <w:rPr>
          <w:lang w:val="en-GB"/>
        </w:rPr>
        <w:t>T</w:t>
      </w:r>
      <w:r w:rsidR="004A1F31" w:rsidRPr="00F236D9">
        <w:rPr>
          <w:lang w:val="en-GB"/>
        </w:rPr>
        <w:t xml:space="preserve">he IR Policy is </w:t>
      </w:r>
      <w:r w:rsidRPr="00F236D9">
        <w:rPr>
          <w:lang w:val="en-GB"/>
        </w:rPr>
        <w:t xml:space="preserve">reviewed annually. </w:t>
      </w:r>
    </w:p>
    <w:p w14:paraId="229EF978" w14:textId="122393FE" w:rsidR="00BB4923" w:rsidRPr="00BB4923" w:rsidRDefault="00BB4923" w:rsidP="005951F8">
      <w:pPr>
        <w:ind w:left="705" w:right="0" w:hanging="705"/>
        <w:rPr>
          <w:lang w:val="en-US"/>
        </w:rPr>
      </w:pPr>
    </w:p>
    <w:p w14:paraId="2085C24D" w14:textId="54555713" w:rsidR="00B10C6C" w:rsidRPr="00B10C6C" w:rsidRDefault="00B10C6C" w:rsidP="00AA3AEB">
      <w:pPr>
        <w:ind w:left="705" w:right="0" w:hanging="705"/>
        <w:rPr>
          <w:lang w:val="en-GB"/>
        </w:rPr>
        <w:sectPr w:rsidR="00B10C6C" w:rsidRPr="00B10C6C">
          <w:headerReference w:type="even" r:id="rId11"/>
          <w:headerReference w:type="default" r:id="rId12"/>
          <w:footerReference w:type="even" r:id="rId13"/>
          <w:footerReference w:type="default" r:id="rId14"/>
          <w:headerReference w:type="first" r:id="rId15"/>
          <w:footerReference w:type="first" r:id="rId16"/>
          <w:pgSz w:w="11906" w:h="16838"/>
          <w:pgMar w:top="2381" w:right="843" w:bottom="932" w:left="850" w:header="720" w:footer="434" w:gutter="0"/>
          <w:cols w:space="720"/>
          <w:titlePg/>
        </w:sectPr>
      </w:pPr>
    </w:p>
    <w:p w14:paraId="467BBFAC" w14:textId="77777777" w:rsidR="0072040C" w:rsidRDefault="00FF479E">
      <w:pPr>
        <w:spacing w:after="0" w:line="259" w:lineRule="auto"/>
        <w:ind w:left="-1440" w:right="10466" w:firstLine="0"/>
        <w:jc w:val="left"/>
      </w:pPr>
      <w:r>
        <w:rPr>
          <w:rFonts w:ascii="Calibri" w:eastAsia="Calibri" w:hAnsi="Calibri" w:cs="Calibri"/>
          <w:noProof/>
          <w:color w:val="000000"/>
        </w:rPr>
        <mc:AlternateContent>
          <mc:Choice Requires="wpg">
            <w:drawing>
              <wp:anchor distT="0" distB="0" distL="114300" distR="114300" simplePos="0" relativeHeight="251658241"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a:extLst xmlns:a="http://schemas.openxmlformats.org/drawingml/2006/main">
                    <a:ext uri="{FF2B5EF4-FFF2-40B4-BE49-F238E27FC236}">
                      <a16:creationId xmlns:a16="http://schemas.microsoft.com/office/drawing/2014/main" id="{F6737FB9-5DCB-4F25-A503-7FD9F61A7936}"/>
                    </a:ext>
                  </a:extLst>
                </wp:docPr>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left:0;text-align:left;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Y0K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16FD" w14:textId="77777777" w:rsidR="00F763C7" w:rsidRDefault="00F763C7">
      <w:pPr>
        <w:spacing w:after="0" w:line="240" w:lineRule="auto"/>
      </w:pPr>
      <w:r>
        <w:separator/>
      </w:r>
    </w:p>
  </w:endnote>
  <w:endnote w:type="continuationSeparator" w:id="0">
    <w:p w14:paraId="019868D8" w14:textId="77777777" w:rsidR="00F763C7" w:rsidRDefault="00F7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Default="00FF479E">
    <w:pPr>
      <w:spacing w:after="0" w:line="259" w:lineRule="auto"/>
      <w:ind w:left="0" w:right="7" w:firstLine="0"/>
      <w:jc w:val="center"/>
    </w:pPr>
    <w:r>
      <w:rPr>
        <w:sz w:val="16"/>
      </w:rPr>
      <w:t>BioMar Group A/S · Værkmestergade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A62B" w14:textId="0EF293CE" w:rsidR="0072040C" w:rsidRDefault="00FF479E">
    <w:pPr>
      <w:spacing w:after="0" w:line="259" w:lineRule="auto"/>
      <w:ind w:left="0" w:right="7" w:firstLine="0"/>
      <w:jc w:val="center"/>
    </w:pPr>
    <w:r>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Default="00FF479E">
    <w:pPr>
      <w:spacing w:after="0" w:line="259" w:lineRule="auto"/>
      <w:ind w:left="0" w:right="7" w:firstLine="0"/>
      <w:jc w:val="center"/>
    </w:pPr>
    <w:r>
      <w:rPr>
        <w:sz w:val="16"/>
      </w:rPr>
      <w:t>BioMar Group A/S · Værkmestergade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B21F1" w14:textId="77777777" w:rsidR="00F763C7" w:rsidRDefault="00F763C7">
      <w:pPr>
        <w:spacing w:after="0" w:line="240" w:lineRule="auto"/>
      </w:pPr>
      <w:r>
        <w:separator/>
      </w:r>
    </w:p>
  </w:footnote>
  <w:footnote w:type="continuationSeparator" w:id="0">
    <w:p w14:paraId="52E0E2F1" w14:textId="77777777" w:rsidR="00F763C7" w:rsidRDefault="00F76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Default="00FF479E">
    <w:pPr>
      <w:spacing w:after="53"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a:extLst xmlns:a="http://schemas.openxmlformats.org/drawingml/2006/main">
                  <a:ext uri="{FF2B5EF4-FFF2-40B4-BE49-F238E27FC236}">
                    <a16:creationId xmlns:a16="http://schemas.microsoft.com/office/drawing/2014/main" id="{768055CF-D074-464C-A708-C77D434D533D}"/>
                  </a:ext>
                </a:extLst>
              </wp:docPr>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2D0D00B" id="Group 6883" o:spid="_x0000_s1026" style="position:absolute;margin-left:442.55pt;margin-top:16.65pt;width:136.1pt;height:130.3pt;z-index:251658240;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r>
      <w:rPr>
        <w:sz w:val="16"/>
      </w:rPr>
      <w:t>BioMar Group</w:t>
    </w:r>
  </w:p>
  <w:p w14:paraId="2AF2E4BA" w14:textId="77777777" w:rsidR="0072040C" w:rsidRDefault="00FF479E">
    <w:pPr>
      <w:spacing w:after="0" w:line="259" w:lineRule="auto"/>
      <w:ind w:left="0" w:right="0" w:firstLine="0"/>
      <w:jc w:val="left"/>
    </w:pPr>
    <w:r>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190" w14:textId="04B91ABF" w:rsidR="0072040C" w:rsidRPr="00D4687F" w:rsidRDefault="00D511A9">
    <w:pPr>
      <w:spacing w:after="0" w:line="259" w:lineRule="auto"/>
      <w:ind w:left="0" w:right="0" w:firstLine="0"/>
      <w:jc w:val="left"/>
      <w:rPr>
        <w:lang w:val="da-DK"/>
      </w:rPr>
    </w:pPr>
    <w:r>
      <w:rPr>
        <w:noProof/>
      </w:rPr>
      <w:drawing>
        <wp:anchor distT="0" distB="0" distL="114300" distR="114300" simplePos="0" relativeHeight="251658241" behindDoc="0" locked="0" layoutInCell="1" allowOverlap="1" wp14:anchorId="1A469CFC" wp14:editId="65402768">
          <wp:simplePos x="0" y="0"/>
          <wp:positionH relativeFrom="margin">
            <wp:align>right</wp:align>
          </wp:positionH>
          <wp:positionV relativeFrom="paragraph">
            <wp:posOffset>3924</wp:posOffset>
          </wp:positionV>
          <wp:extent cx="818515" cy="759460"/>
          <wp:effectExtent l="0" t="0" r="635" b="2540"/>
          <wp:wrapNone/>
          <wp:docPr id="13" name="Picture 13" descr="Et billede, der indeholder Font/skrifttype, logo, Grafik, tekst&#10;&#10;AI-genereret indhold kan være ukorrekt.">
            <a:extLst xmlns:a="http://schemas.openxmlformats.org/drawingml/2006/main">
              <a:ext uri="{FF2B5EF4-FFF2-40B4-BE49-F238E27FC236}">
                <a16:creationId xmlns:a16="http://schemas.microsoft.com/office/drawing/2014/main" id="{DB16E1AB-9F9B-4260-A482-6B41EAF08A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372E3A">
      <w:rPr>
        <w:sz w:val="16"/>
        <w:lang w:val="da-DK"/>
      </w:rPr>
      <w:t>I</w:t>
    </w:r>
    <w:r w:rsidR="00B15864">
      <w:rPr>
        <w:sz w:val="16"/>
        <w:lang w:val="da-DK"/>
      </w:rPr>
      <w:t>nvestor Relations</w:t>
    </w:r>
    <w:r w:rsidR="00DF23FC">
      <w:rPr>
        <w:sz w:val="16"/>
        <w:lang w:val="da-DK"/>
      </w:rPr>
      <w:t xml:space="preserve"> </w:t>
    </w:r>
    <w:r w:rsidR="00D4687F">
      <w:rPr>
        <w:sz w:val="16"/>
        <w:lang w:val="da-DK"/>
      </w:rPr>
      <w:t>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14757AC6"/>
    <w:multiLevelType w:val="hybridMultilevel"/>
    <w:tmpl w:val="FBE068BC"/>
    <w:lvl w:ilvl="0" w:tplc="02585262">
      <w:start w:val="4"/>
      <w:numFmt w:val="bullet"/>
      <w:lvlText w:val="•"/>
      <w:lvlJc w:val="left"/>
      <w:pPr>
        <w:ind w:left="1410" w:hanging="705"/>
      </w:pPr>
      <w:rPr>
        <w:rFonts w:ascii="Avenir Next LT Pro" w:eastAsia="Avenir Next LT Pro" w:hAnsi="Avenir Next LT Pro" w:cs="Avenir Next LT Pro" w:hint="default"/>
      </w:rPr>
    </w:lvl>
    <w:lvl w:ilvl="1" w:tplc="04060003" w:tentative="1">
      <w:start w:val="1"/>
      <w:numFmt w:val="bullet"/>
      <w:lvlText w:val="o"/>
      <w:lvlJc w:val="left"/>
      <w:pPr>
        <w:ind w:left="1785" w:hanging="360"/>
      </w:pPr>
      <w:rPr>
        <w:rFonts w:ascii="Courier New" w:hAnsi="Courier New" w:cs="Courier New" w:hint="default"/>
      </w:rPr>
    </w:lvl>
    <w:lvl w:ilvl="2" w:tplc="04060005" w:tentative="1">
      <w:start w:val="1"/>
      <w:numFmt w:val="bullet"/>
      <w:lvlText w:val=""/>
      <w:lvlJc w:val="left"/>
      <w:pPr>
        <w:ind w:left="2505" w:hanging="360"/>
      </w:pPr>
      <w:rPr>
        <w:rFonts w:ascii="Wingdings" w:hAnsi="Wingdings" w:hint="default"/>
      </w:rPr>
    </w:lvl>
    <w:lvl w:ilvl="3" w:tplc="04060001" w:tentative="1">
      <w:start w:val="1"/>
      <w:numFmt w:val="bullet"/>
      <w:lvlText w:val=""/>
      <w:lvlJc w:val="left"/>
      <w:pPr>
        <w:ind w:left="3225" w:hanging="360"/>
      </w:pPr>
      <w:rPr>
        <w:rFonts w:ascii="Symbol" w:hAnsi="Symbol" w:hint="default"/>
      </w:rPr>
    </w:lvl>
    <w:lvl w:ilvl="4" w:tplc="04060003" w:tentative="1">
      <w:start w:val="1"/>
      <w:numFmt w:val="bullet"/>
      <w:lvlText w:val="o"/>
      <w:lvlJc w:val="left"/>
      <w:pPr>
        <w:ind w:left="3945" w:hanging="360"/>
      </w:pPr>
      <w:rPr>
        <w:rFonts w:ascii="Courier New" w:hAnsi="Courier New" w:cs="Courier New" w:hint="default"/>
      </w:rPr>
    </w:lvl>
    <w:lvl w:ilvl="5" w:tplc="04060005" w:tentative="1">
      <w:start w:val="1"/>
      <w:numFmt w:val="bullet"/>
      <w:lvlText w:val=""/>
      <w:lvlJc w:val="left"/>
      <w:pPr>
        <w:ind w:left="4665" w:hanging="360"/>
      </w:pPr>
      <w:rPr>
        <w:rFonts w:ascii="Wingdings" w:hAnsi="Wingdings" w:hint="default"/>
      </w:rPr>
    </w:lvl>
    <w:lvl w:ilvl="6" w:tplc="04060001" w:tentative="1">
      <w:start w:val="1"/>
      <w:numFmt w:val="bullet"/>
      <w:lvlText w:val=""/>
      <w:lvlJc w:val="left"/>
      <w:pPr>
        <w:ind w:left="5385" w:hanging="360"/>
      </w:pPr>
      <w:rPr>
        <w:rFonts w:ascii="Symbol" w:hAnsi="Symbol" w:hint="default"/>
      </w:rPr>
    </w:lvl>
    <w:lvl w:ilvl="7" w:tplc="04060003" w:tentative="1">
      <w:start w:val="1"/>
      <w:numFmt w:val="bullet"/>
      <w:lvlText w:val="o"/>
      <w:lvlJc w:val="left"/>
      <w:pPr>
        <w:ind w:left="6105" w:hanging="360"/>
      </w:pPr>
      <w:rPr>
        <w:rFonts w:ascii="Courier New" w:hAnsi="Courier New" w:cs="Courier New" w:hint="default"/>
      </w:rPr>
    </w:lvl>
    <w:lvl w:ilvl="8" w:tplc="04060005" w:tentative="1">
      <w:start w:val="1"/>
      <w:numFmt w:val="bullet"/>
      <w:lvlText w:val=""/>
      <w:lvlJc w:val="left"/>
      <w:pPr>
        <w:ind w:left="6825" w:hanging="360"/>
      </w:pPr>
      <w:rPr>
        <w:rFonts w:ascii="Wingdings" w:hAnsi="Wingdings" w:hint="default"/>
      </w:rPr>
    </w:lvl>
  </w:abstractNum>
  <w:abstractNum w:abstractNumId="5" w15:restartNumberingAfterBreak="0">
    <w:nsid w:val="1D0B703D"/>
    <w:multiLevelType w:val="hybridMultilevel"/>
    <w:tmpl w:val="5CA0DCDC"/>
    <w:lvl w:ilvl="0" w:tplc="02585262">
      <w:start w:val="4"/>
      <w:numFmt w:val="bullet"/>
      <w:lvlText w:val="•"/>
      <w:lvlJc w:val="left"/>
      <w:pPr>
        <w:ind w:left="1413" w:hanging="705"/>
      </w:pPr>
      <w:rPr>
        <w:rFonts w:ascii="Avenir Next LT Pro" w:eastAsia="Avenir Next LT Pro" w:hAnsi="Avenir Next LT Pro" w:cs="Avenir Next LT Pro" w:hint="default"/>
      </w:rPr>
    </w:lvl>
    <w:lvl w:ilvl="1" w:tplc="04060003" w:tentative="1">
      <w:start w:val="1"/>
      <w:numFmt w:val="bullet"/>
      <w:lvlText w:val="o"/>
      <w:lvlJc w:val="left"/>
      <w:pPr>
        <w:ind w:left="1443" w:hanging="360"/>
      </w:pPr>
      <w:rPr>
        <w:rFonts w:ascii="Courier New" w:hAnsi="Courier New" w:cs="Courier New" w:hint="default"/>
      </w:rPr>
    </w:lvl>
    <w:lvl w:ilvl="2" w:tplc="04060005" w:tentative="1">
      <w:start w:val="1"/>
      <w:numFmt w:val="bullet"/>
      <w:lvlText w:val=""/>
      <w:lvlJc w:val="left"/>
      <w:pPr>
        <w:ind w:left="2163" w:hanging="360"/>
      </w:pPr>
      <w:rPr>
        <w:rFonts w:ascii="Wingdings" w:hAnsi="Wingdings" w:hint="default"/>
      </w:rPr>
    </w:lvl>
    <w:lvl w:ilvl="3" w:tplc="04060001" w:tentative="1">
      <w:start w:val="1"/>
      <w:numFmt w:val="bullet"/>
      <w:lvlText w:val=""/>
      <w:lvlJc w:val="left"/>
      <w:pPr>
        <w:ind w:left="2883" w:hanging="360"/>
      </w:pPr>
      <w:rPr>
        <w:rFonts w:ascii="Symbol" w:hAnsi="Symbol" w:hint="default"/>
      </w:rPr>
    </w:lvl>
    <w:lvl w:ilvl="4" w:tplc="04060003" w:tentative="1">
      <w:start w:val="1"/>
      <w:numFmt w:val="bullet"/>
      <w:lvlText w:val="o"/>
      <w:lvlJc w:val="left"/>
      <w:pPr>
        <w:ind w:left="3603" w:hanging="360"/>
      </w:pPr>
      <w:rPr>
        <w:rFonts w:ascii="Courier New" w:hAnsi="Courier New" w:cs="Courier New" w:hint="default"/>
      </w:rPr>
    </w:lvl>
    <w:lvl w:ilvl="5" w:tplc="04060005" w:tentative="1">
      <w:start w:val="1"/>
      <w:numFmt w:val="bullet"/>
      <w:lvlText w:val=""/>
      <w:lvlJc w:val="left"/>
      <w:pPr>
        <w:ind w:left="4323" w:hanging="360"/>
      </w:pPr>
      <w:rPr>
        <w:rFonts w:ascii="Wingdings" w:hAnsi="Wingdings" w:hint="default"/>
      </w:rPr>
    </w:lvl>
    <w:lvl w:ilvl="6" w:tplc="04060001" w:tentative="1">
      <w:start w:val="1"/>
      <w:numFmt w:val="bullet"/>
      <w:lvlText w:val=""/>
      <w:lvlJc w:val="left"/>
      <w:pPr>
        <w:ind w:left="5043" w:hanging="360"/>
      </w:pPr>
      <w:rPr>
        <w:rFonts w:ascii="Symbol" w:hAnsi="Symbol" w:hint="default"/>
      </w:rPr>
    </w:lvl>
    <w:lvl w:ilvl="7" w:tplc="04060003" w:tentative="1">
      <w:start w:val="1"/>
      <w:numFmt w:val="bullet"/>
      <w:lvlText w:val="o"/>
      <w:lvlJc w:val="left"/>
      <w:pPr>
        <w:ind w:left="5763" w:hanging="360"/>
      </w:pPr>
      <w:rPr>
        <w:rFonts w:ascii="Courier New" w:hAnsi="Courier New" w:cs="Courier New" w:hint="default"/>
      </w:rPr>
    </w:lvl>
    <w:lvl w:ilvl="8" w:tplc="04060005" w:tentative="1">
      <w:start w:val="1"/>
      <w:numFmt w:val="bullet"/>
      <w:lvlText w:val=""/>
      <w:lvlJc w:val="left"/>
      <w:pPr>
        <w:ind w:left="6483" w:hanging="360"/>
      </w:pPr>
      <w:rPr>
        <w:rFonts w:ascii="Wingdings" w:hAnsi="Wingdings" w:hint="default"/>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9" w15:restartNumberingAfterBreak="0">
    <w:nsid w:val="3C9E3402"/>
    <w:multiLevelType w:val="hybridMultilevel"/>
    <w:tmpl w:val="DEA851CC"/>
    <w:lvl w:ilvl="0" w:tplc="04060001">
      <w:start w:val="1"/>
      <w:numFmt w:val="bullet"/>
      <w:lvlText w:val=""/>
      <w:lvlJc w:val="left"/>
      <w:pPr>
        <w:ind w:left="1425" w:hanging="360"/>
      </w:pPr>
      <w:rPr>
        <w:rFonts w:ascii="Symbol" w:hAnsi="Symbol" w:hint="default"/>
      </w:rPr>
    </w:lvl>
    <w:lvl w:ilvl="1" w:tplc="04060003" w:tentative="1">
      <w:start w:val="1"/>
      <w:numFmt w:val="bullet"/>
      <w:lvlText w:val="o"/>
      <w:lvlJc w:val="left"/>
      <w:pPr>
        <w:ind w:left="2145" w:hanging="360"/>
      </w:pPr>
      <w:rPr>
        <w:rFonts w:ascii="Courier New" w:hAnsi="Courier New" w:cs="Courier New" w:hint="default"/>
      </w:rPr>
    </w:lvl>
    <w:lvl w:ilvl="2" w:tplc="04060005" w:tentative="1">
      <w:start w:val="1"/>
      <w:numFmt w:val="bullet"/>
      <w:lvlText w:val=""/>
      <w:lvlJc w:val="left"/>
      <w:pPr>
        <w:ind w:left="2865" w:hanging="360"/>
      </w:pPr>
      <w:rPr>
        <w:rFonts w:ascii="Wingdings" w:hAnsi="Wingdings" w:hint="default"/>
      </w:rPr>
    </w:lvl>
    <w:lvl w:ilvl="3" w:tplc="04060001" w:tentative="1">
      <w:start w:val="1"/>
      <w:numFmt w:val="bullet"/>
      <w:lvlText w:val=""/>
      <w:lvlJc w:val="left"/>
      <w:pPr>
        <w:ind w:left="3585" w:hanging="360"/>
      </w:pPr>
      <w:rPr>
        <w:rFonts w:ascii="Symbol" w:hAnsi="Symbol" w:hint="default"/>
      </w:rPr>
    </w:lvl>
    <w:lvl w:ilvl="4" w:tplc="04060003" w:tentative="1">
      <w:start w:val="1"/>
      <w:numFmt w:val="bullet"/>
      <w:lvlText w:val="o"/>
      <w:lvlJc w:val="left"/>
      <w:pPr>
        <w:ind w:left="4305" w:hanging="360"/>
      </w:pPr>
      <w:rPr>
        <w:rFonts w:ascii="Courier New" w:hAnsi="Courier New" w:cs="Courier New" w:hint="default"/>
      </w:rPr>
    </w:lvl>
    <w:lvl w:ilvl="5" w:tplc="04060005" w:tentative="1">
      <w:start w:val="1"/>
      <w:numFmt w:val="bullet"/>
      <w:lvlText w:val=""/>
      <w:lvlJc w:val="left"/>
      <w:pPr>
        <w:ind w:left="5025" w:hanging="360"/>
      </w:pPr>
      <w:rPr>
        <w:rFonts w:ascii="Wingdings" w:hAnsi="Wingdings" w:hint="default"/>
      </w:rPr>
    </w:lvl>
    <w:lvl w:ilvl="6" w:tplc="04060001" w:tentative="1">
      <w:start w:val="1"/>
      <w:numFmt w:val="bullet"/>
      <w:lvlText w:val=""/>
      <w:lvlJc w:val="left"/>
      <w:pPr>
        <w:ind w:left="5745" w:hanging="360"/>
      </w:pPr>
      <w:rPr>
        <w:rFonts w:ascii="Symbol" w:hAnsi="Symbol" w:hint="default"/>
      </w:rPr>
    </w:lvl>
    <w:lvl w:ilvl="7" w:tplc="04060003" w:tentative="1">
      <w:start w:val="1"/>
      <w:numFmt w:val="bullet"/>
      <w:lvlText w:val="o"/>
      <w:lvlJc w:val="left"/>
      <w:pPr>
        <w:ind w:left="6465" w:hanging="360"/>
      </w:pPr>
      <w:rPr>
        <w:rFonts w:ascii="Courier New" w:hAnsi="Courier New" w:cs="Courier New" w:hint="default"/>
      </w:rPr>
    </w:lvl>
    <w:lvl w:ilvl="8" w:tplc="04060005" w:tentative="1">
      <w:start w:val="1"/>
      <w:numFmt w:val="bullet"/>
      <w:lvlText w:val=""/>
      <w:lvlJc w:val="left"/>
      <w:pPr>
        <w:ind w:left="7185" w:hanging="360"/>
      </w:pPr>
      <w:rPr>
        <w:rFonts w:ascii="Wingdings" w:hAnsi="Wingdings" w:hint="default"/>
      </w:rPr>
    </w:lvl>
  </w:abstractNum>
  <w:abstractNum w:abstractNumId="10" w15:restartNumberingAfterBreak="0">
    <w:nsid w:val="4277030F"/>
    <w:multiLevelType w:val="hybridMultilevel"/>
    <w:tmpl w:val="FEB27F2E"/>
    <w:lvl w:ilvl="0" w:tplc="02585262">
      <w:start w:val="4"/>
      <w:numFmt w:val="bullet"/>
      <w:lvlText w:val="•"/>
      <w:lvlJc w:val="left"/>
      <w:pPr>
        <w:ind w:left="1413" w:hanging="705"/>
      </w:pPr>
      <w:rPr>
        <w:rFonts w:ascii="Avenir Next LT Pro" w:eastAsia="Avenir Next LT Pro" w:hAnsi="Avenir Next LT Pro" w:cs="Avenir Next LT Pro" w:hint="default"/>
      </w:rPr>
    </w:lvl>
    <w:lvl w:ilvl="1" w:tplc="04060003" w:tentative="1">
      <w:start w:val="1"/>
      <w:numFmt w:val="bullet"/>
      <w:lvlText w:val="o"/>
      <w:lvlJc w:val="left"/>
      <w:pPr>
        <w:ind w:left="1443" w:hanging="360"/>
      </w:pPr>
      <w:rPr>
        <w:rFonts w:ascii="Courier New" w:hAnsi="Courier New" w:cs="Courier New" w:hint="default"/>
      </w:rPr>
    </w:lvl>
    <w:lvl w:ilvl="2" w:tplc="04060005" w:tentative="1">
      <w:start w:val="1"/>
      <w:numFmt w:val="bullet"/>
      <w:lvlText w:val=""/>
      <w:lvlJc w:val="left"/>
      <w:pPr>
        <w:ind w:left="2163" w:hanging="360"/>
      </w:pPr>
      <w:rPr>
        <w:rFonts w:ascii="Wingdings" w:hAnsi="Wingdings" w:hint="default"/>
      </w:rPr>
    </w:lvl>
    <w:lvl w:ilvl="3" w:tplc="04060001" w:tentative="1">
      <w:start w:val="1"/>
      <w:numFmt w:val="bullet"/>
      <w:lvlText w:val=""/>
      <w:lvlJc w:val="left"/>
      <w:pPr>
        <w:ind w:left="2883" w:hanging="360"/>
      </w:pPr>
      <w:rPr>
        <w:rFonts w:ascii="Symbol" w:hAnsi="Symbol" w:hint="default"/>
      </w:rPr>
    </w:lvl>
    <w:lvl w:ilvl="4" w:tplc="04060003" w:tentative="1">
      <w:start w:val="1"/>
      <w:numFmt w:val="bullet"/>
      <w:lvlText w:val="o"/>
      <w:lvlJc w:val="left"/>
      <w:pPr>
        <w:ind w:left="3603" w:hanging="360"/>
      </w:pPr>
      <w:rPr>
        <w:rFonts w:ascii="Courier New" w:hAnsi="Courier New" w:cs="Courier New" w:hint="default"/>
      </w:rPr>
    </w:lvl>
    <w:lvl w:ilvl="5" w:tplc="04060005" w:tentative="1">
      <w:start w:val="1"/>
      <w:numFmt w:val="bullet"/>
      <w:lvlText w:val=""/>
      <w:lvlJc w:val="left"/>
      <w:pPr>
        <w:ind w:left="4323" w:hanging="360"/>
      </w:pPr>
      <w:rPr>
        <w:rFonts w:ascii="Wingdings" w:hAnsi="Wingdings" w:hint="default"/>
      </w:rPr>
    </w:lvl>
    <w:lvl w:ilvl="6" w:tplc="04060001" w:tentative="1">
      <w:start w:val="1"/>
      <w:numFmt w:val="bullet"/>
      <w:lvlText w:val=""/>
      <w:lvlJc w:val="left"/>
      <w:pPr>
        <w:ind w:left="5043" w:hanging="360"/>
      </w:pPr>
      <w:rPr>
        <w:rFonts w:ascii="Symbol" w:hAnsi="Symbol" w:hint="default"/>
      </w:rPr>
    </w:lvl>
    <w:lvl w:ilvl="7" w:tplc="04060003" w:tentative="1">
      <w:start w:val="1"/>
      <w:numFmt w:val="bullet"/>
      <w:lvlText w:val="o"/>
      <w:lvlJc w:val="left"/>
      <w:pPr>
        <w:ind w:left="5763" w:hanging="360"/>
      </w:pPr>
      <w:rPr>
        <w:rFonts w:ascii="Courier New" w:hAnsi="Courier New" w:cs="Courier New" w:hint="default"/>
      </w:rPr>
    </w:lvl>
    <w:lvl w:ilvl="8" w:tplc="04060005" w:tentative="1">
      <w:start w:val="1"/>
      <w:numFmt w:val="bullet"/>
      <w:lvlText w:val=""/>
      <w:lvlJc w:val="left"/>
      <w:pPr>
        <w:ind w:left="6483" w:hanging="360"/>
      </w:pPr>
      <w:rPr>
        <w:rFonts w:ascii="Wingdings" w:hAnsi="Wingdings" w:hint="default"/>
      </w:rPr>
    </w:lvl>
  </w:abstractNum>
  <w:abstractNum w:abstractNumId="11"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4" w15:restartNumberingAfterBreak="0">
    <w:nsid w:val="57437079"/>
    <w:multiLevelType w:val="hybridMultilevel"/>
    <w:tmpl w:val="535EAB60"/>
    <w:lvl w:ilvl="0" w:tplc="04060001">
      <w:start w:val="1"/>
      <w:numFmt w:val="bullet"/>
      <w:lvlText w:val=""/>
      <w:lvlJc w:val="left"/>
      <w:pPr>
        <w:ind w:left="1068" w:hanging="360"/>
      </w:pPr>
      <w:rPr>
        <w:rFonts w:ascii="Symbol" w:hAnsi="Symbol" w:hint="default"/>
      </w:rPr>
    </w:lvl>
    <w:lvl w:ilvl="1" w:tplc="04060003" w:tentative="1">
      <w:start w:val="1"/>
      <w:numFmt w:val="bullet"/>
      <w:lvlText w:val="o"/>
      <w:lvlJc w:val="left"/>
      <w:pPr>
        <w:ind w:left="1788" w:hanging="360"/>
      </w:pPr>
      <w:rPr>
        <w:rFonts w:ascii="Courier New" w:hAnsi="Courier New" w:cs="Courier New" w:hint="default"/>
      </w:rPr>
    </w:lvl>
    <w:lvl w:ilvl="2" w:tplc="04060005" w:tentative="1">
      <w:start w:val="1"/>
      <w:numFmt w:val="bullet"/>
      <w:lvlText w:val=""/>
      <w:lvlJc w:val="left"/>
      <w:pPr>
        <w:ind w:left="2508" w:hanging="360"/>
      </w:pPr>
      <w:rPr>
        <w:rFonts w:ascii="Wingdings" w:hAnsi="Wingdings" w:hint="default"/>
      </w:rPr>
    </w:lvl>
    <w:lvl w:ilvl="3" w:tplc="04060001" w:tentative="1">
      <w:start w:val="1"/>
      <w:numFmt w:val="bullet"/>
      <w:lvlText w:val=""/>
      <w:lvlJc w:val="left"/>
      <w:pPr>
        <w:ind w:left="3228" w:hanging="360"/>
      </w:pPr>
      <w:rPr>
        <w:rFonts w:ascii="Symbol" w:hAnsi="Symbol" w:hint="default"/>
      </w:rPr>
    </w:lvl>
    <w:lvl w:ilvl="4" w:tplc="04060003" w:tentative="1">
      <w:start w:val="1"/>
      <w:numFmt w:val="bullet"/>
      <w:lvlText w:val="o"/>
      <w:lvlJc w:val="left"/>
      <w:pPr>
        <w:ind w:left="3948" w:hanging="360"/>
      </w:pPr>
      <w:rPr>
        <w:rFonts w:ascii="Courier New" w:hAnsi="Courier New" w:cs="Courier New" w:hint="default"/>
      </w:rPr>
    </w:lvl>
    <w:lvl w:ilvl="5" w:tplc="04060005" w:tentative="1">
      <w:start w:val="1"/>
      <w:numFmt w:val="bullet"/>
      <w:lvlText w:val=""/>
      <w:lvlJc w:val="left"/>
      <w:pPr>
        <w:ind w:left="4668" w:hanging="360"/>
      </w:pPr>
      <w:rPr>
        <w:rFonts w:ascii="Wingdings" w:hAnsi="Wingdings" w:hint="default"/>
      </w:rPr>
    </w:lvl>
    <w:lvl w:ilvl="6" w:tplc="04060001" w:tentative="1">
      <w:start w:val="1"/>
      <w:numFmt w:val="bullet"/>
      <w:lvlText w:val=""/>
      <w:lvlJc w:val="left"/>
      <w:pPr>
        <w:ind w:left="5388" w:hanging="360"/>
      </w:pPr>
      <w:rPr>
        <w:rFonts w:ascii="Symbol" w:hAnsi="Symbol" w:hint="default"/>
      </w:rPr>
    </w:lvl>
    <w:lvl w:ilvl="7" w:tplc="04060003" w:tentative="1">
      <w:start w:val="1"/>
      <w:numFmt w:val="bullet"/>
      <w:lvlText w:val="o"/>
      <w:lvlJc w:val="left"/>
      <w:pPr>
        <w:ind w:left="6108" w:hanging="360"/>
      </w:pPr>
      <w:rPr>
        <w:rFonts w:ascii="Courier New" w:hAnsi="Courier New" w:cs="Courier New" w:hint="default"/>
      </w:rPr>
    </w:lvl>
    <w:lvl w:ilvl="8" w:tplc="04060005" w:tentative="1">
      <w:start w:val="1"/>
      <w:numFmt w:val="bullet"/>
      <w:lvlText w:val=""/>
      <w:lvlJc w:val="left"/>
      <w:pPr>
        <w:ind w:left="6828" w:hanging="360"/>
      </w:pPr>
      <w:rPr>
        <w:rFonts w:ascii="Wingdings" w:hAnsi="Wingdings" w:hint="default"/>
      </w:rPr>
    </w:lvl>
  </w:abstractNum>
  <w:abstractNum w:abstractNumId="15"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8F87D4C"/>
    <w:multiLevelType w:val="hybridMultilevel"/>
    <w:tmpl w:val="58DEAC18"/>
    <w:lvl w:ilvl="0" w:tplc="B06830A4">
      <w:start w:val="1"/>
      <w:numFmt w:val="decimal"/>
      <w:pStyle w:val="Heading1"/>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pStyle w:val="Niveau4"/>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7"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B5C350F"/>
    <w:multiLevelType w:val="hybridMultilevel"/>
    <w:tmpl w:val="8774E3CE"/>
    <w:lvl w:ilvl="0" w:tplc="02585262">
      <w:start w:val="4"/>
      <w:numFmt w:val="bullet"/>
      <w:lvlText w:val="•"/>
      <w:lvlJc w:val="left"/>
      <w:pPr>
        <w:ind w:left="1410" w:hanging="705"/>
      </w:pPr>
      <w:rPr>
        <w:rFonts w:ascii="Avenir Next LT Pro" w:eastAsia="Avenir Next LT Pro" w:hAnsi="Avenir Next LT Pro" w:cs="Avenir Next LT Pro"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DC2246F"/>
    <w:multiLevelType w:val="hybridMultilevel"/>
    <w:tmpl w:val="B9D6CF0A"/>
    <w:lvl w:ilvl="0" w:tplc="04060001">
      <w:start w:val="1"/>
      <w:numFmt w:val="bullet"/>
      <w:lvlText w:val=""/>
      <w:lvlJc w:val="left"/>
      <w:pPr>
        <w:ind w:left="1065" w:hanging="360"/>
      </w:pPr>
      <w:rPr>
        <w:rFonts w:ascii="Symbol" w:hAnsi="Symbol" w:hint="default"/>
      </w:rPr>
    </w:lvl>
    <w:lvl w:ilvl="1" w:tplc="04060003" w:tentative="1">
      <w:start w:val="1"/>
      <w:numFmt w:val="bullet"/>
      <w:lvlText w:val="o"/>
      <w:lvlJc w:val="left"/>
      <w:pPr>
        <w:ind w:left="1785" w:hanging="360"/>
      </w:pPr>
      <w:rPr>
        <w:rFonts w:ascii="Courier New" w:hAnsi="Courier New" w:cs="Courier New" w:hint="default"/>
      </w:rPr>
    </w:lvl>
    <w:lvl w:ilvl="2" w:tplc="04060005" w:tentative="1">
      <w:start w:val="1"/>
      <w:numFmt w:val="bullet"/>
      <w:lvlText w:val=""/>
      <w:lvlJc w:val="left"/>
      <w:pPr>
        <w:ind w:left="2505" w:hanging="360"/>
      </w:pPr>
      <w:rPr>
        <w:rFonts w:ascii="Wingdings" w:hAnsi="Wingdings" w:hint="default"/>
      </w:rPr>
    </w:lvl>
    <w:lvl w:ilvl="3" w:tplc="04060001" w:tentative="1">
      <w:start w:val="1"/>
      <w:numFmt w:val="bullet"/>
      <w:lvlText w:val=""/>
      <w:lvlJc w:val="left"/>
      <w:pPr>
        <w:ind w:left="3225" w:hanging="360"/>
      </w:pPr>
      <w:rPr>
        <w:rFonts w:ascii="Symbol" w:hAnsi="Symbol" w:hint="default"/>
      </w:rPr>
    </w:lvl>
    <w:lvl w:ilvl="4" w:tplc="04060003" w:tentative="1">
      <w:start w:val="1"/>
      <w:numFmt w:val="bullet"/>
      <w:lvlText w:val="o"/>
      <w:lvlJc w:val="left"/>
      <w:pPr>
        <w:ind w:left="3945" w:hanging="360"/>
      </w:pPr>
      <w:rPr>
        <w:rFonts w:ascii="Courier New" w:hAnsi="Courier New" w:cs="Courier New" w:hint="default"/>
      </w:rPr>
    </w:lvl>
    <w:lvl w:ilvl="5" w:tplc="04060005" w:tentative="1">
      <w:start w:val="1"/>
      <w:numFmt w:val="bullet"/>
      <w:lvlText w:val=""/>
      <w:lvlJc w:val="left"/>
      <w:pPr>
        <w:ind w:left="4665" w:hanging="360"/>
      </w:pPr>
      <w:rPr>
        <w:rFonts w:ascii="Wingdings" w:hAnsi="Wingdings" w:hint="default"/>
      </w:rPr>
    </w:lvl>
    <w:lvl w:ilvl="6" w:tplc="04060001" w:tentative="1">
      <w:start w:val="1"/>
      <w:numFmt w:val="bullet"/>
      <w:lvlText w:val=""/>
      <w:lvlJc w:val="left"/>
      <w:pPr>
        <w:ind w:left="5385" w:hanging="360"/>
      </w:pPr>
      <w:rPr>
        <w:rFonts w:ascii="Symbol" w:hAnsi="Symbol" w:hint="default"/>
      </w:rPr>
    </w:lvl>
    <w:lvl w:ilvl="7" w:tplc="04060003" w:tentative="1">
      <w:start w:val="1"/>
      <w:numFmt w:val="bullet"/>
      <w:lvlText w:val="o"/>
      <w:lvlJc w:val="left"/>
      <w:pPr>
        <w:ind w:left="6105" w:hanging="360"/>
      </w:pPr>
      <w:rPr>
        <w:rFonts w:ascii="Courier New" w:hAnsi="Courier New" w:cs="Courier New" w:hint="default"/>
      </w:rPr>
    </w:lvl>
    <w:lvl w:ilvl="8" w:tplc="04060005" w:tentative="1">
      <w:start w:val="1"/>
      <w:numFmt w:val="bullet"/>
      <w:lvlText w:val=""/>
      <w:lvlJc w:val="left"/>
      <w:pPr>
        <w:ind w:left="6825" w:hanging="360"/>
      </w:pPr>
      <w:rPr>
        <w:rFonts w:ascii="Wingdings" w:hAnsi="Wingdings" w:hint="default"/>
      </w:rPr>
    </w:lvl>
  </w:abstractNum>
  <w:abstractNum w:abstractNumId="20" w15:restartNumberingAfterBreak="0">
    <w:nsid w:val="5F05195F"/>
    <w:multiLevelType w:val="multilevel"/>
    <w:tmpl w:val="74B856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1E24DA"/>
    <w:multiLevelType w:val="hybridMultilevel"/>
    <w:tmpl w:val="65BEAFA4"/>
    <w:lvl w:ilvl="0" w:tplc="0406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3" w15:restartNumberingAfterBreak="0">
    <w:nsid w:val="62AC28E7"/>
    <w:multiLevelType w:val="multilevel"/>
    <w:tmpl w:val="BBB6EFD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3970C7"/>
    <w:multiLevelType w:val="multilevel"/>
    <w:tmpl w:val="A9D285C2"/>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bCs w:val="0"/>
        <w:sz w:val="24"/>
        <w:szCs w:val="24"/>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ED5C93"/>
    <w:multiLevelType w:val="multilevel"/>
    <w:tmpl w:val="A9D285C2"/>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bCs w:val="0"/>
        <w:sz w:val="24"/>
        <w:szCs w:val="24"/>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8" w15:restartNumberingAfterBreak="0">
    <w:nsid w:val="7B5D6BE4"/>
    <w:multiLevelType w:val="multilevel"/>
    <w:tmpl w:val="F078E3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9524505">
    <w:abstractNumId w:val="30"/>
  </w:num>
  <w:num w:numId="2" w16cid:durableId="1156412973">
    <w:abstractNumId w:val="28"/>
  </w:num>
  <w:num w:numId="3" w16cid:durableId="1163472717">
    <w:abstractNumId w:val="15"/>
  </w:num>
  <w:num w:numId="4" w16cid:durableId="1325860141">
    <w:abstractNumId w:val="11"/>
  </w:num>
  <w:num w:numId="5" w16cid:durableId="1444224932">
    <w:abstractNumId w:val="6"/>
  </w:num>
  <w:num w:numId="6" w16cid:durableId="1449855886">
    <w:abstractNumId w:val="27"/>
  </w:num>
  <w:num w:numId="7" w16cid:durableId="1491751866">
    <w:abstractNumId w:val="14"/>
  </w:num>
  <w:num w:numId="8" w16cid:durableId="1503818719">
    <w:abstractNumId w:val="1"/>
  </w:num>
  <w:num w:numId="9" w16cid:durableId="153835061">
    <w:abstractNumId w:val="22"/>
  </w:num>
  <w:num w:numId="10" w16cid:durableId="1563250263">
    <w:abstractNumId w:val="2"/>
  </w:num>
  <w:num w:numId="11" w16cid:durableId="1590693272">
    <w:abstractNumId w:val="10"/>
  </w:num>
  <w:num w:numId="12" w16cid:durableId="1605652926">
    <w:abstractNumId w:val="8"/>
  </w:num>
  <w:num w:numId="13" w16cid:durableId="1606422479">
    <w:abstractNumId w:val="26"/>
  </w:num>
  <w:num w:numId="14" w16cid:durableId="1679194588">
    <w:abstractNumId w:val="12"/>
  </w:num>
  <w:num w:numId="15" w16cid:durableId="1743722947">
    <w:abstractNumId w:val="25"/>
  </w:num>
  <w:num w:numId="16" w16cid:durableId="1816990580">
    <w:abstractNumId w:val="24"/>
  </w:num>
  <w:num w:numId="17" w16cid:durableId="1821920276">
    <w:abstractNumId w:val="23"/>
  </w:num>
  <w:num w:numId="18" w16cid:durableId="1904556840">
    <w:abstractNumId w:val="21"/>
  </w:num>
  <w:num w:numId="19" w16cid:durableId="1913272113">
    <w:abstractNumId w:val="5"/>
  </w:num>
  <w:num w:numId="20" w16cid:durableId="2018002771">
    <w:abstractNumId w:val="16"/>
  </w:num>
  <w:num w:numId="21" w16cid:durableId="2027167058">
    <w:abstractNumId w:val="0"/>
  </w:num>
  <w:num w:numId="22" w16cid:durableId="2142260324">
    <w:abstractNumId w:val="20"/>
  </w:num>
  <w:num w:numId="23" w16cid:durableId="306202834">
    <w:abstractNumId w:val="17"/>
  </w:num>
  <w:num w:numId="24" w16cid:durableId="383674577">
    <w:abstractNumId w:val="3"/>
  </w:num>
  <w:num w:numId="25" w16cid:durableId="439643372">
    <w:abstractNumId w:val="7"/>
  </w:num>
  <w:num w:numId="26" w16cid:durableId="614486890">
    <w:abstractNumId w:val="18"/>
  </w:num>
  <w:num w:numId="27" w16cid:durableId="722825581">
    <w:abstractNumId w:val="16"/>
  </w:num>
  <w:num w:numId="28" w16cid:durableId="734359115">
    <w:abstractNumId w:val="4"/>
  </w:num>
  <w:num w:numId="29" w16cid:durableId="816915848">
    <w:abstractNumId w:val="13"/>
  </w:num>
  <w:num w:numId="30" w16cid:durableId="898202361">
    <w:abstractNumId w:val="29"/>
  </w:num>
  <w:num w:numId="31" w16cid:durableId="903488092">
    <w:abstractNumId w:val="19"/>
  </w:num>
  <w:num w:numId="32" w16cid:durableId="988293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oNotTrackFormatting/>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5276"/>
    <w:rsid w:val="00021313"/>
    <w:rsid w:val="000522E6"/>
    <w:rsid w:val="000532C6"/>
    <w:rsid w:val="00074BAD"/>
    <w:rsid w:val="00080B8E"/>
    <w:rsid w:val="00085DDA"/>
    <w:rsid w:val="00092F91"/>
    <w:rsid w:val="0009573B"/>
    <w:rsid w:val="000A3CFE"/>
    <w:rsid w:val="000B3546"/>
    <w:rsid w:val="000E04DA"/>
    <w:rsid w:val="000F0465"/>
    <w:rsid w:val="000F29ED"/>
    <w:rsid w:val="001019A0"/>
    <w:rsid w:val="0010516B"/>
    <w:rsid w:val="0013679B"/>
    <w:rsid w:val="00136ED5"/>
    <w:rsid w:val="00142065"/>
    <w:rsid w:val="00176F19"/>
    <w:rsid w:val="00186100"/>
    <w:rsid w:val="00193CAB"/>
    <w:rsid w:val="001961B6"/>
    <w:rsid w:val="001B054A"/>
    <w:rsid w:val="001B1A77"/>
    <w:rsid w:val="001C19F4"/>
    <w:rsid w:val="001D3438"/>
    <w:rsid w:val="001F5DAC"/>
    <w:rsid w:val="002232D7"/>
    <w:rsid w:val="00236E17"/>
    <w:rsid w:val="002614DF"/>
    <w:rsid w:val="00262802"/>
    <w:rsid w:val="00264537"/>
    <w:rsid w:val="00267533"/>
    <w:rsid w:val="002812B6"/>
    <w:rsid w:val="002828BE"/>
    <w:rsid w:val="00292827"/>
    <w:rsid w:val="002A591B"/>
    <w:rsid w:val="002C4006"/>
    <w:rsid w:val="002E3B1D"/>
    <w:rsid w:val="002E462F"/>
    <w:rsid w:val="002F124E"/>
    <w:rsid w:val="00301464"/>
    <w:rsid w:val="00314E89"/>
    <w:rsid w:val="00321E21"/>
    <w:rsid w:val="00341119"/>
    <w:rsid w:val="00345E93"/>
    <w:rsid w:val="00346876"/>
    <w:rsid w:val="00347CE4"/>
    <w:rsid w:val="0035244E"/>
    <w:rsid w:val="00372E3A"/>
    <w:rsid w:val="00391C0E"/>
    <w:rsid w:val="003A2EDD"/>
    <w:rsid w:val="003A5785"/>
    <w:rsid w:val="003B4FF7"/>
    <w:rsid w:val="003C6F9A"/>
    <w:rsid w:val="003D470E"/>
    <w:rsid w:val="003E3025"/>
    <w:rsid w:val="003E3FC1"/>
    <w:rsid w:val="003E40ED"/>
    <w:rsid w:val="004104EC"/>
    <w:rsid w:val="00411060"/>
    <w:rsid w:val="0041167C"/>
    <w:rsid w:val="0041279A"/>
    <w:rsid w:val="00431C9C"/>
    <w:rsid w:val="0047165B"/>
    <w:rsid w:val="00485C2D"/>
    <w:rsid w:val="004873D3"/>
    <w:rsid w:val="00494B30"/>
    <w:rsid w:val="004A1F31"/>
    <w:rsid w:val="004B3407"/>
    <w:rsid w:val="004E4327"/>
    <w:rsid w:val="004E51B3"/>
    <w:rsid w:val="004F63D8"/>
    <w:rsid w:val="004F6CFA"/>
    <w:rsid w:val="00500A51"/>
    <w:rsid w:val="00502412"/>
    <w:rsid w:val="005041AB"/>
    <w:rsid w:val="005060E2"/>
    <w:rsid w:val="00511FBD"/>
    <w:rsid w:val="00523C7E"/>
    <w:rsid w:val="00525B47"/>
    <w:rsid w:val="00534F9D"/>
    <w:rsid w:val="00546CD9"/>
    <w:rsid w:val="00546FFB"/>
    <w:rsid w:val="0055785B"/>
    <w:rsid w:val="00566EDD"/>
    <w:rsid w:val="00567F6C"/>
    <w:rsid w:val="0057059D"/>
    <w:rsid w:val="00571FE0"/>
    <w:rsid w:val="005951F8"/>
    <w:rsid w:val="005A4196"/>
    <w:rsid w:val="005B1DEE"/>
    <w:rsid w:val="005C0591"/>
    <w:rsid w:val="005C75EB"/>
    <w:rsid w:val="00614A63"/>
    <w:rsid w:val="006208A1"/>
    <w:rsid w:val="0062680E"/>
    <w:rsid w:val="00640B3C"/>
    <w:rsid w:val="00682BC7"/>
    <w:rsid w:val="00694C2C"/>
    <w:rsid w:val="006A5AC3"/>
    <w:rsid w:val="006B0320"/>
    <w:rsid w:val="006C23E9"/>
    <w:rsid w:val="006E1880"/>
    <w:rsid w:val="0072040C"/>
    <w:rsid w:val="00720954"/>
    <w:rsid w:val="00752280"/>
    <w:rsid w:val="00754BDF"/>
    <w:rsid w:val="0076539C"/>
    <w:rsid w:val="00791054"/>
    <w:rsid w:val="007A433D"/>
    <w:rsid w:val="007B78F7"/>
    <w:rsid w:val="007D4767"/>
    <w:rsid w:val="007D5AD3"/>
    <w:rsid w:val="007E619A"/>
    <w:rsid w:val="007F5616"/>
    <w:rsid w:val="007F579E"/>
    <w:rsid w:val="00844710"/>
    <w:rsid w:val="00852C2B"/>
    <w:rsid w:val="00882524"/>
    <w:rsid w:val="008D449A"/>
    <w:rsid w:val="008E2F42"/>
    <w:rsid w:val="008E5A70"/>
    <w:rsid w:val="008E70A4"/>
    <w:rsid w:val="00911D67"/>
    <w:rsid w:val="00920152"/>
    <w:rsid w:val="00925507"/>
    <w:rsid w:val="00945EE9"/>
    <w:rsid w:val="0095453E"/>
    <w:rsid w:val="00957091"/>
    <w:rsid w:val="00963670"/>
    <w:rsid w:val="00971E94"/>
    <w:rsid w:val="00986844"/>
    <w:rsid w:val="0099248B"/>
    <w:rsid w:val="009A0AF4"/>
    <w:rsid w:val="009B62B4"/>
    <w:rsid w:val="009D4451"/>
    <w:rsid w:val="009E6021"/>
    <w:rsid w:val="00A10A5F"/>
    <w:rsid w:val="00A21A30"/>
    <w:rsid w:val="00A24954"/>
    <w:rsid w:val="00A318C0"/>
    <w:rsid w:val="00A5401E"/>
    <w:rsid w:val="00A75507"/>
    <w:rsid w:val="00A86AE9"/>
    <w:rsid w:val="00A92C12"/>
    <w:rsid w:val="00AA0977"/>
    <w:rsid w:val="00AA1540"/>
    <w:rsid w:val="00AA3AEB"/>
    <w:rsid w:val="00AC0788"/>
    <w:rsid w:val="00AD5DFC"/>
    <w:rsid w:val="00AD67C8"/>
    <w:rsid w:val="00B071CB"/>
    <w:rsid w:val="00B07EBE"/>
    <w:rsid w:val="00B109A8"/>
    <w:rsid w:val="00B10C6C"/>
    <w:rsid w:val="00B15864"/>
    <w:rsid w:val="00B240AB"/>
    <w:rsid w:val="00B80DAD"/>
    <w:rsid w:val="00B92E8C"/>
    <w:rsid w:val="00BA11ED"/>
    <w:rsid w:val="00BB4923"/>
    <w:rsid w:val="00BC1AB0"/>
    <w:rsid w:val="00BC6E49"/>
    <w:rsid w:val="00BD1AE0"/>
    <w:rsid w:val="00C10FF7"/>
    <w:rsid w:val="00C72E01"/>
    <w:rsid w:val="00C80A88"/>
    <w:rsid w:val="00CC2AD1"/>
    <w:rsid w:val="00CE1515"/>
    <w:rsid w:val="00CE7DBC"/>
    <w:rsid w:val="00CF1C8D"/>
    <w:rsid w:val="00CF74D3"/>
    <w:rsid w:val="00D01FCD"/>
    <w:rsid w:val="00D04A21"/>
    <w:rsid w:val="00D241DE"/>
    <w:rsid w:val="00D37341"/>
    <w:rsid w:val="00D443CD"/>
    <w:rsid w:val="00D4600A"/>
    <w:rsid w:val="00D4687F"/>
    <w:rsid w:val="00D511A9"/>
    <w:rsid w:val="00D609D8"/>
    <w:rsid w:val="00D76AD4"/>
    <w:rsid w:val="00D84775"/>
    <w:rsid w:val="00D8560E"/>
    <w:rsid w:val="00D85E80"/>
    <w:rsid w:val="00D95E8D"/>
    <w:rsid w:val="00DD1F54"/>
    <w:rsid w:val="00DD4117"/>
    <w:rsid w:val="00DE1D7C"/>
    <w:rsid w:val="00DF00AD"/>
    <w:rsid w:val="00DF23FC"/>
    <w:rsid w:val="00DF2ED8"/>
    <w:rsid w:val="00E109A7"/>
    <w:rsid w:val="00E13235"/>
    <w:rsid w:val="00E13B7E"/>
    <w:rsid w:val="00E33705"/>
    <w:rsid w:val="00E34ABF"/>
    <w:rsid w:val="00E42153"/>
    <w:rsid w:val="00E6161F"/>
    <w:rsid w:val="00E71677"/>
    <w:rsid w:val="00E71A7C"/>
    <w:rsid w:val="00E92C3B"/>
    <w:rsid w:val="00E972D0"/>
    <w:rsid w:val="00EE02FC"/>
    <w:rsid w:val="00EE5729"/>
    <w:rsid w:val="00F10B12"/>
    <w:rsid w:val="00F12E25"/>
    <w:rsid w:val="00F236D9"/>
    <w:rsid w:val="00F71146"/>
    <w:rsid w:val="00F763C7"/>
    <w:rsid w:val="00F84AB7"/>
    <w:rsid w:val="00F8555C"/>
    <w:rsid w:val="00F903A7"/>
    <w:rsid w:val="00F9292F"/>
    <w:rsid w:val="00FA4D7B"/>
    <w:rsid w:val="00FA71CE"/>
    <w:rsid w:val="00FB0190"/>
    <w:rsid w:val="00FB742B"/>
    <w:rsid w:val="00FF479E"/>
    <w:rsid w:val="239C9877"/>
    <w:rsid w:val="5F3B1E5D"/>
    <w:rsid w:val="6733BDAA"/>
    <w:rsid w:val="732C74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960AF"/>
  <w15:docId w15:val="{7555DB6F-6F8B-4622-A404-D9846DA5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14DF"/>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Heading1">
    <w:name w:val="heading 1"/>
    <w:aliases w:val="Section Heading,Lev 1"/>
    <w:next w:val="Normal"/>
    <w:qFormat/>
    <w:pPr>
      <w:keepNext/>
      <w:keepLines/>
      <w:numPr>
        <w:numId w:val="27"/>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paragraph" w:styleId="Heading3">
    <w:name w:val="heading 3"/>
    <w:basedOn w:val="Normal"/>
    <w:next w:val="Normal"/>
    <w:unhideWhenUsed/>
    <w:qFormat/>
    <w:rsid w:val="00BB4923"/>
    <w:pPr>
      <w:keepNext/>
      <w:keepLines/>
      <w:spacing w:before="40" w:after="0"/>
      <w:outlineLvl w:val="2"/>
    </w:pPr>
    <w:rPr>
      <w:rFonts w:asciiTheme="majorHAnsi" w:eastAsiaTheme="majorEastAsia" w:hAnsiTheme="majorHAnsi" w:cstheme="majorBidi"/>
      <w:color w:val="0F1E3B" w:themeColor="accent1" w:themeShade="7F"/>
      <w:sz w:val="24"/>
    </w:rPr>
  </w:style>
  <w:style w:type="paragraph" w:styleId="Heading4">
    <w:name w:val="heading 4"/>
    <w:aliases w:val="Level 2 - a,Lev 4"/>
    <w:basedOn w:val="Normal"/>
    <w:next w:val="Normal"/>
    <w:unhideWhenUsed/>
    <w:qFormat/>
    <w:rsid w:val="00BB4923"/>
    <w:pPr>
      <w:keepNext/>
      <w:keepLines/>
      <w:spacing w:before="40" w:after="0"/>
      <w:outlineLvl w:val="3"/>
    </w:pPr>
    <w:rPr>
      <w:rFonts w:asciiTheme="majorHAnsi" w:eastAsiaTheme="majorEastAsia" w:hAnsiTheme="majorHAnsi" w:cstheme="majorBidi"/>
      <w:i/>
      <w:iCs/>
      <w:color w:val="172E59" w:themeColor="accent1" w:themeShade="BF"/>
    </w:rPr>
  </w:style>
  <w:style w:type="paragraph" w:styleId="Heading5">
    <w:name w:val="heading 5"/>
    <w:aliases w:val="Level 3 - i,Lev 5"/>
    <w:basedOn w:val="Normal"/>
    <w:next w:val="Normal"/>
    <w:qFormat/>
    <w:rsid w:val="00E71A7C"/>
    <w:pPr>
      <w:keepNext/>
      <w:tabs>
        <w:tab w:val="num" w:pos="1276"/>
      </w:tabs>
      <w:spacing w:after="0" w:line="240" w:lineRule="atLeast"/>
      <w:ind w:left="1276" w:right="0" w:hanging="454"/>
      <w:jc w:val="left"/>
      <w:outlineLvl w:val="4"/>
    </w:pPr>
    <w:rPr>
      <w:rFonts w:ascii="Georgia" w:eastAsia="Times New Roman" w:hAnsi="Georgia" w:cs="Times New Roman"/>
      <w:bCs/>
      <w:iCs/>
      <w:color w:val="auto"/>
      <w:kern w:val="0"/>
      <w:sz w:val="20"/>
      <w:szCs w:val="26"/>
      <w:lang w:val="da-DK" w:eastAsia="da-DK"/>
      <w14:ligatures w14:val="none"/>
    </w:rPr>
  </w:style>
  <w:style w:type="paragraph" w:styleId="Heading6">
    <w:name w:val="heading 6"/>
    <w:basedOn w:val="Normal"/>
    <w:next w:val="Normal"/>
    <w:qFormat/>
    <w:rsid w:val="00E71A7C"/>
    <w:pPr>
      <w:keepNext/>
      <w:tabs>
        <w:tab w:val="num" w:pos="1729"/>
      </w:tabs>
      <w:spacing w:after="0" w:line="240" w:lineRule="atLeast"/>
      <w:ind w:left="1730" w:right="0" w:hanging="454"/>
      <w:jc w:val="left"/>
      <w:outlineLvl w:val="5"/>
    </w:pPr>
    <w:rPr>
      <w:rFonts w:ascii="Georgia" w:eastAsia="Times New Roman" w:hAnsi="Georgia" w:cs="Times New Roman"/>
      <w:bCs/>
      <w:color w:val="auto"/>
      <w:kern w:val="0"/>
      <w:sz w:val="20"/>
      <w:szCs w:val="22"/>
      <w:lang w:val="da-DK" w:eastAsia="da-DK"/>
      <w14:ligatures w14:val="none"/>
    </w:rPr>
  </w:style>
  <w:style w:type="paragraph" w:styleId="Heading7">
    <w:name w:val="heading 7"/>
    <w:aliases w:val="Legal Level 1.1.,Lev 7"/>
    <w:basedOn w:val="Normal"/>
    <w:next w:val="Normal"/>
    <w:qFormat/>
    <w:rsid w:val="00E71A7C"/>
    <w:pPr>
      <w:tabs>
        <w:tab w:val="num" w:pos="4677"/>
      </w:tabs>
      <w:spacing w:before="240" w:after="60" w:line="240" w:lineRule="atLeast"/>
      <w:ind w:left="4320" w:right="0" w:firstLine="0"/>
      <w:jc w:val="left"/>
      <w:outlineLvl w:val="6"/>
    </w:pPr>
    <w:rPr>
      <w:rFonts w:ascii="Times New Roman" w:eastAsia="Times New Roman" w:hAnsi="Times New Roman" w:cs="Times New Roman"/>
      <w:color w:val="auto"/>
      <w:kern w:val="0"/>
      <w:sz w:val="24"/>
      <w:lang w:val="da-DK" w:eastAsia="da-DK"/>
      <w14:ligatures w14:val="none"/>
    </w:rPr>
  </w:style>
  <w:style w:type="paragraph" w:styleId="Heading8">
    <w:name w:val="heading 8"/>
    <w:aliases w:val="Legal Level 1.1.1.,Lev 8"/>
    <w:basedOn w:val="Normal"/>
    <w:next w:val="Normal"/>
    <w:qFormat/>
    <w:rsid w:val="00E71A7C"/>
    <w:pPr>
      <w:tabs>
        <w:tab w:val="num" w:pos="5397"/>
      </w:tabs>
      <w:spacing w:before="240" w:after="60" w:line="240" w:lineRule="atLeast"/>
      <w:ind w:left="5040" w:right="0" w:firstLine="0"/>
      <w:jc w:val="left"/>
      <w:outlineLvl w:val="7"/>
    </w:pPr>
    <w:rPr>
      <w:rFonts w:ascii="Times New Roman" w:eastAsia="Times New Roman" w:hAnsi="Times New Roman" w:cs="Times New Roman"/>
      <w:i/>
      <w:iCs/>
      <w:color w:val="auto"/>
      <w:kern w:val="0"/>
      <w:sz w:val="24"/>
      <w:lang w:val="da-DK" w:eastAsia="da-DK"/>
      <w14:ligatures w14:val="none"/>
    </w:rPr>
  </w:style>
  <w:style w:type="paragraph" w:styleId="Heading9">
    <w:name w:val="heading 9"/>
    <w:aliases w:val="Legal Level 1.1.1.1.,Lev 9"/>
    <w:basedOn w:val="Normal"/>
    <w:next w:val="Normal"/>
    <w:qFormat/>
    <w:rsid w:val="00E71A7C"/>
    <w:pPr>
      <w:tabs>
        <w:tab w:val="num" w:pos="6117"/>
      </w:tabs>
      <w:spacing w:before="240" w:after="60" w:line="240" w:lineRule="atLeast"/>
      <w:ind w:left="5760" w:right="0" w:firstLine="0"/>
      <w:jc w:val="left"/>
      <w:outlineLvl w:val="8"/>
    </w:pPr>
    <w:rPr>
      <w:rFonts w:ascii="Arial" w:eastAsia="Times New Roman" w:hAnsi="Arial" w:cs="Arial"/>
      <w:color w:val="auto"/>
      <w:kern w:val="0"/>
      <w:szCs w:val="22"/>
      <w:lang w:val="da-DK" w:eastAsia="da-D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E13235"/>
    <w:pPr>
      <w:tabs>
        <w:tab w:val="center" w:pos="4513"/>
        <w:tab w:val="right" w:pos="9026"/>
      </w:tabs>
      <w:spacing w:after="0" w:line="240" w:lineRule="auto"/>
    </w:pPr>
  </w:style>
  <w:style w:type="paragraph" w:styleId="ListParagraph">
    <w:name w:val="List Paragraph"/>
    <w:basedOn w:val="Normal"/>
    <w:uiPriority w:val="34"/>
    <w:qFormat/>
    <w:rsid w:val="00D85E80"/>
    <w:pPr>
      <w:ind w:left="720"/>
      <w:contextualSpacing/>
    </w:pPr>
  </w:style>
  <w:style w:type="character" w:customStyle="1" w:styleId="HeaderChar1">
    <w:name w:val="Header Char1"/>
    <w:basedOn w:val="DefaultParagraphFont"/>
    <w:link w:val="Header"/>
    <w:uiPriority w:val="99"/>
    <w:semiHidden/>
    <w:rsid w:val="00E13235"/>
    <w:rPr>
      <w:rFonts w:ascii="Avenir Next LT Pro" w:eastAsia="Avenir Next LT Pro" w:hAnsi="Avenir Next LT Pro" w:cs="Avenir Next LT Pro"/>
      <w:color w:val="1B4076"/>
      <w:sz w:val="22"/>
    </w:rPr>
  </w:style>
  <w:style w:type="paragraph" w:styleId="Footer">
    <w:name w:val="footer"/>
    <w:basedOn w:val="Normal"/>
    <w:link w:val="FooterChar"/>
    <w:uiPriority w:val="99"/>
    <w:semiHidden/>
    <w:unhideWhenUsed/>
    <w:rsid w:val="00D76A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3235"/>
    <w:rPr>
      <w:rFonts w:ascii="Avenir Next LT Pro" w:eastAsia="Avenir Next LT Pro" w:hAnsi="Avenir Next LT Pro" w:cs="Avenir Next LT Pro"/>
      <w:color w:val="1B4076"/>
      <w:sz w:val="22"/>
    </w:rPr>
  </w:style>
  <w:style w:type="character" w:customStyle="1" w:styleId="BodyTextChar1">
    <w:name w:val="Body Text Char1"/>
    <w:basedOn w:val="DefaultParagraphFont"/>
    <w:uiPriority w:val="1"/>
    <w:semiHidden/>
    <w:rsid w:val="00E13235"/>
    <w:rPr>
      <w:rFonts w:ascii="Avenir Next LT Pro" w:eastAsia="Avenir Next LT Pro" w:hAnsi="Avenir Next LT Pro" w:cs="Avenir Next LT Pro"/>
      <w:color w:val="1B4076"/>
      <w:sz w:val="22"/>
    </w:rPr>
  </w:style>
  <w:style w:type="character" w:customStyle="1" w:styleId="TitleChar1">
    <w:name w:val="Title Char1"/>
    <w:basedOn w:val="DefaultParagraphFont"/>
    <w:uiPriority w:val="10"/>
    <w:rsid w:val="00E13235"/>
    <w:rPr>
      <w:rFonts w:asciiTheme="majorHAnsi" w:eastAsiaTheme="majorEastAsia" w:hAnsiTheme="majorHAnsi" w:cstheme="majorBidi"/>
      <w:spacing w:val="-10"/>
      <w:kern w:val="28"/>
      <w:sz w:val="56"/>
      <w:szCs w:val="56"/>
    </w:rPr>
  </w:style>
  <w:style w:type="character" w:customStyle="1" w:styleId="FootnoteTextChar1">
    <w:name w:val="Footnote Text Char1"/>
    <w:basedOn w:val="DefaultParagraphFont"/>
    <w:semiHidden/>
    <w:rsid w:val="00E13235"/>
    <w:rPr>
      <w:rFonts w:ascii="Avenir Next LT Pro" w:eastAsia="Avenir Next LT Pro" w:hAnsi="Avenir Next LT Pro" w:cs="Avenir Next LT Pro"/>
      <w:color w:val="1B4076"/>
      <w:sz w:val="20"/>
      <w:szCs w:val="20"/>
    </w:rPr>
  </w:style>
  <w:style w:type="paragraph" w:customStyle="1" w:styleId="Opstilling-Streg">
    <w:name w:val="Opstilling - Streg"/>
    <w:basedOn w:val="Normal"/>
    <w:qFormat/>
    <w:rsid w:val="00BD1AE0"/>
    <w:pPr>
      <w:numPr>
        <w:numId w:val="9"/>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character" w:styleId="FootnoteReference">
    <w:name w:val="footnote reference"/>
    <w:basedOn w:val="DefaultParagraphFont"/>
    <w:semiHidden/>
    <w:unhideWhenUsed/>
    <w:rsid w:val="00BD1AE0"/>
    <w:rPr>
      <w:vertAlign w:val="superscript"/>
    </w:rPr>
  </w:style>
  <w:style w:type="paragraph" w:customStyle="1" w:styleId="Niveau4">
    <w:name w:val="Niveau 4"/>
    <w:basedOn w:val="Heading4"/>
    <w:rsid w:val="00E71A7C"/>
    <w:pPr>
      <w:keepNext w:val="0"/>
      <w:keepLines w:val="0"/>
      <w:numPr>
        <w:ilvl w:val="3"/>
        <w:numId w:val="27"/>
      </w:numPr>
      <w:tabs>
        <w:tab w:val="num" w:pos="822"/>
      </w:tabs>
      <w:spacing w:before="0" w:after="240" w:line="240" w:lineRule="atLeast"/>
      <w:ind w:left="822" w:right="0" w:hanging="822"/>
      <w:jc w:val="left"/>
    </w:pPr>
    <w:rPr>
      <w:rFonts w:ascii="Georgia" w:eastAsia="Times New Roman" w:hAnsi="Georgia" w:cs="Times New Roman"/>
      <w:bCs/>
      <w:i w:val="0"/>
      <w:iCs w:val="0"/>
      <w:color w:val="auto"/>
      <w:kern w:val="0"/>
      <w:sz w:val="20"/>
      <w:szCs w:val="28"/>
      <w:lang w:val="da-DK" w:eastAsia="da-DK"/>
      <w14:ligatures w14:val="none"/>
    </w:rPr>
  </w:style>
  <w:style w:type="table" w:styleId="TableGrid">
    <w:name w:val="Table Grid"/>
    <w:basedOn w:val="TableNormal"/>
    <w:rsid w:val="00E71A7C"/>
    <w:pPr>
      <w:spacing w:after="0" w:line="240" w:lineRule="auto"/>
    </w:pPr>
    <w:rPr>
      <w:rFonts w:ascii="Times New Roman" w:eastAsia="Times New Roman" w:hAnsi="Times New Roman" w:cs="Times New Roman"/>
      <w:kern w:val="0"/>
      <w:sz w:val="20"/>
      <w:szCs w:val="20"/>
      <w:lang w:val="da-DK"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ection Heading Char,Lev 1 Char"/>
    <w:rsid w:val="002614DF"/>
    <w:rPr>
      <w:rFonts w:ascii="Avenir Next LT Pro" w:eastAsia="Avenir Next LT Pro" w:hAnsi="Avenir Next LT Pro" w:cs="Avenir Next LT Pro"/>
      <w:b/>
      <w:color w:val="1B4076"/>
      <w:sz w:val="28"/>
    </w:rPr>
  </w:style>
  <w:style w:type="character" w:customStyle="1" w:styleId="HeaderChar">
    <w:name w:val="Header Char"/>
    <w:basedOn w:val="DefaultParagraphFont"/>
    <w:uiPriority w:val="99"/>
    <w:rsid w:val="002614DF"/>
    <w:rPr>
      <w:rFonts w:cs="Times New Roman"/>
      <w:kern w:val="0"/>
      <w:sz w:val="22"/>
      <w:szCs w:val="22"/>
      <w14:ligatures w14:val="none"/>
    </w:rPr>
  </w:style>
  <w:style w:type="character" w:customStyle="1" w:styleId="Heading2Char">
    <w:name w:val="Heading 2 Char"/>
    <w:basedOn w:val="DefaultParagraphFont"/>
    <w:uiPriority w:val="9"/>
    <w:semiHidden/>
    <w:rsid w:val="002614DF"/>
    <w:rPr>
      <w:rFonts w:asciiTheme="majorHAnsi" w:eastAsiaTheme="majorEastAsia" w:hAnsiTheme="majorHAnsi" w:cstheme="majorBidi"/>
      <w:color w:val="172E59" w:themeColor="accent1" w:themeShade="BF"/>
      <w:sz w:val="26"/>
      <w:szCs w:val="26"/>
    </w:rPr>
  </w:style>
  <w:style w:type="character" w:customStyle="1" w:styleId="Heading3Char">
    <w:name w:val="Heading 3 Char"/>
    <w:basedOn w:val="DefaultParagraphFont"/>
    <w:uiPriority w:val="9"/>
    <w:semiHidden/>
    <w:rsid w:val="002614DF"/>
    <w:rPr>
      <w:rFonts w:asciiTheme="majorHAnsi" w:eastAsiaTheme="majorEastAsia" w:hAnsiTheme="majorHAnsi" w:cstheme="majorBidi"/>
      <w:color w:val="0F1E3B" w:themeColor="accent1" w:themeShade="7F"/>
    </w:rPr>
  </w:style>
  <w:style w:type="character" w:customStyle="1" w:styleId="Heading4Char">
    <w:name w:val="Heading 4 Char"/>
    <w:aliases w:val="Level 2 - a Char,Lev 4 Char"/>
    <w:basedOn w:val="DefaultParagraphFont"/>
    <w:uiPriority w:val="9"/>
    <w:semiHidden/>
    <w:rsid w:val="002614DF"/>
    <w:rPr>
      <w:rFonts w:asciiTheme="majorHAnsi" w:eastAsiaTheme="majorEastAsia" w:hAnsiTheme="majorHAnsi" w:cstheme="majorBidi"/>
      <w:i/>
      <w:iCs/>
      <w:color w:val="172E59" w:themeColor="accent1" w:themeShade="BF"/>
      <w:sz w:val="22"/>
    </w:rPr>
  </w:style>
  <w:style w:type="character" w:customStyle="1" w:styleId="Heading5Char">
    <w:name w:val="Heading 5 Char"/>
    <w:aliases w:val="Level 3 - i Char,Lev 5 Char"/>
    <w:basedOn w:val="DefaultParagraphFont"/>
    <w:rsid w:val="002614DF"/>
    <w:rPr>
      <w:rFonts w:ascii="Georgia" w:eastAsia="Times New Roman" w:hAnsi="Georgia" w:cs="Times New Roman"/>
      <w:bCs/>
      <w:iCs/>
      <w:kern w:val="0"/>
      <w:sz w:val="20"/>
      <w:szCs w:val="26"/>
      <w:lang w:val="da-DK" w:eastAsia="da-DK"/>
      <w14:ligatures w14:val="none"/>
    </w:rPr>
  </w:style>
  <w:style w:type="character" w:customStyle="1" w:styleId="Heading6Char">
    <w:name w:val="Heading 6 Char"/>
    <w:basedOn w:val="DefaultParagraphFont"/>
    <w:rsid w:val="002614DF"/>
    <w:rPr>
      <w:rFonts w:ascii="Georgia" w:eastAsia="Times New Roman" w:hAnsi="Georgia" w:cs="Times New Roman"/>
      <w:bCs/>
      <w:kern w:val="0"/>
      <w:sz w:val="20"/>
      <w:szCs w:val="22"/>
      <w:lang w:val="da-DK" w:eastAsia="da-DK"/>
      <w14:ligatures w14:val="none"/>
    </w:rPr>
  </w:style>
  <w:style w:type="character" w:customStyle="1" w:styleId="Heading7Char">
    <w:name w:val="Heading 7 Char"/>
    <w:aliases w:val="Legal Level 1.1. Char,Lev 7 Char"/>
    <w:basedOn w:val="DefaultParagraphFont"/>
    <w:rsid w:val="002614DF"/>
    <w:rPr>
      <w:rFonts w:ascii="Times New Roman" w:eastAsia="Times New Roman" w:hAnsi="Times New Roman" w:cs="Times New Roman"/>
      <w:kern w:val="0"/>
      <w:lang w:val="da-DK" w:eastAsia="da-DK"/>
      <w14:ligatures w14:val="none"/>
    </w:rPr>
  </w:style>
  <w:style w:type="character" w:customStyle="1" w:styleId="Heading8Char">
    <w:name w:val="Heading 8 Char"/>
    <w:aliases w:val="Legal Level 1.1.1. Char,Lev 8 Char"/>
    <w:basedOn w:val="DefaultParagraphFont"/>
    <w:rsid w:val="002614DF"/>
    <w:rPr>
      <w:rFonts w:ascii="Times New Roman" w:eastAsia="Times New Roman" w:hAnsi="Times New Roman" w:cs="Times New Roman"/>
      <w:i/>
      <w:iCs/>
      <w:kern w:val="0"/>
      <w:lang w:val="da-DK" w:eastAsia="da-DK"/>
      <w14:ligatures w14:val="none"/>
    </w:rPr>
  </w:style>
  <w:style w:type="character" w:customStyle="1" w:styleId="Heading9Char">
    <w:name w:val="Heading 9 Char"/>
    <w:aliases w:val="Legal Level 1.1.1.1. Char,Lev 9 Char"/>
    <w:basedOn w:val="DefaultParagraphFont"/>
    <w:rsid w:val="002614DF"/>
    <w:rPr>
      <w:rFonts w:ascii="Arial" w:eastAsia="Times New Roman" w:hAnsi="Arial" w:cs="Arial"/>
      <w:kern w:val="0"/>
      <w:sz w:val="22"/>
      <w:szCs w:val="22"/>
      <w:lang w:val="da-DK"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2.xml><?xml version="1.0" encoding="utf-8"?>
<ds:datastoreItem xmlns:ds="http://schemas.openxmlformats.org/officeDocument/2006/customXml" ds:itemID="{BF35B3A7-6625-4245-800D-0EFE87EFD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Marianne Niviaq Thomsen</cp:lastModifiedBy>
  <cp:revision>9</cp:revision>
  <dcterms:created xsi:type="dcterms:W3CDTF">2026-05-07T11:07:00Z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22d2f25d-e911-46d2-b999-9bb8e6b9b24e</vt:lpwstr>
  </property>
</Properties>
</file>