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2cnbd0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keepNext/>
        <w:tabs>
          <w:tab w:pos="708" w:val="left"/>
        </w:tabs>
        <w:spacing w:before="260" w:after="160"/>
        <w:ind w:left="708" w:hanging="708"/>
      </w:pPr>
      <w:r>
        <w:rPr>
          <w:rFonts w:ascii="Avenir Next LT Pro" w:hAnsi="Avenir Next LT Pro"/>
          <w:b/>
          <w:i w:val="0"/>
          <w:color w:val="1C4076"/>
          <w:sz w:val="28"/>
        </w:rPr>
        <w:t>1.1</w:t>
        <w:tab/>
        <w:t>Purpose</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purpose of this Takeover Response Manual (the “Manual”) is to define the key procedures to be initiated by BioMar Group A/S, CVR no. 38 57 06 17 (the “Company”) in the event of a Takeover Scenario (as defined below).</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The procedures set out in this Manual aim to ensure that the Company, the Board of Directors and the Executive Management are able to respond to and handle a Takeover Scenario in conformity with market practice and legislative requirements in relation to all relevant stakeholders.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The Company has adopted the contingency procedures in this Manual in the event of a Takeover Scenario in order to comply with the Danish Recommendations on Corporate Governance (in Danish “Anbefalinger for god selskabsledelse”)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1.2</w:t>
        <w:tab/>
        <w:t>Scope</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This Manual is prepared for situations where</w:t>
      </w:r>
    </w:p>
    <w:p>
      <w:pPr>
        <w:tabs>
          <w:tab w:pos="1416" w:val="left"/>
        </w:tabs>
        <w:spacing w:after="80"/>
        <w:ind w:left="1416" w:hanging="708"/>
      </w:pPr>
      <w:r>
        <w:rPr>
          <w:rFonts w:ascii="Avenir Next LT Pro" w:hAnsi="Avenir Next LT Pro"/>
          <w:b w:val="0"/>
          <w:i w:val="0"/>
          <w:color w:val="1C4076"/>
          <w:sz w:val="22"/>
        </w:rPr>
        <w:t>(a)</w:t>
        <w:tab/>
        <w:t>the Board of Directors, or the Executive Management, or any member of these bodies, is approached by a third party seeking to change the ownership structure of the Company which may potentially result in a Change of Control (as defined below); or</w:t>
      </w:r>
    </w:p>
    <w:p>
      <w:pPr>
        <w:tabs>
          <w:tab w:pos="1416" w:val="left"/>
        </w:tabs>
        <w:spacing w:after="80"/>
        <w:ind w:left="1416" w:hanging="708"/>
      </w:pPr>
      <w:r>
        <w:rPr>
          <w:rFonts w:ascii="Avenir Next LT Pro" w:hAnsi="Avenir Next LT Pro"/>
          <w:b w:val="0"/>
          <w:i w:val="0"/>
          <w:color w:val="1C4076"/>
          <w:sz w:val="22"/>
        </w:rPr>
        <w:t>(b)</w:t>
        <w:tab/>
        <w:t>A public takeover offer for the shares in the Company is made without any preceding contact.</w:t>
      </w:r>
    </w:p>
    <w:p>
      <w:pPr>
        <w:spacing w:after="200"/>
        <w:jc w:val="both"/>
      </w:pPr>
      <w:r>
        <w:rPr>
          <w:rFonts w:ascii="Avenir Next LT Pro" w:hAnsi="Avenir Next LT Pro"/>
          <w:b w:val="0"/>
          <w:i w:val="0"/>
          <w:color w:val="1C4076"/>
          <w:sz w:val="22"/>
        </w:rPr>
        <w:t>(each of the situations described in (a) and (b) above is referred to as a “Takeover Scenario”).</w:t>
      </w:r>
    </w:p>
    <w:p>
      <w:pPr>
        <w:spacing w:after="200"/>
        <w:jc w:val="both"/>
      </w:pPr>
      <w:r>
        <w:rPr>
          <w:rFonts w:ascii="Avenir Next LT Pro" w:hAnsi="Avenir Next LT Pro"/>
          <w:b w:val="0"/>
          <w:i w:val="0"/>
          <w:color w:val="1C4076"/>
          <w:sz w:val="22"/>
        </w:rPr>
        <w:t>For the purposes of this Manual, “Change of Control” means a direct or indirect transfer of a shareholding in the Company to an acquirer (acting alone or in concert with others) whereby the acquirer obtains control of</w:t>
      </w:r>
    </w:p>
    <w:p>
      <w:pPr>
        <w:tabs>
          <w:tab w:pos="1416" w:val="left"/>
        </w:tabs>
        <w:spacing w:after="80"/>
        <w:ind w:left="1416" w:hanging="708"/>
      </w:pPr>
      <w:r>
        <w:rPr>
          <w:rFonts w:ascii="Avenir Next LT Pro" w:hAnsi="Avenir Next LT Pro"/>
          <w:b w:val="0"/>
          <w:i w:val="0"/>
          <w:color w:val="1C4076"/>
          <w:sz w:val="22"/>
        </w:rPr>
        <w:t>(a)</w:t>
        <w:tab/>
        <w:t>at least one third (33.33%) of the voting rights of the Company; or</w:t>
      </w:r>
    </w:p>
    <w:p>
      <w:pPr>
        <w:tabs>
          <w:tab w:pos="1416" w:val="left"/>
        </w:tabs>
        <w:spacing w:after="80"/>
        <w:ind w:left="1416" w:hanging="708"/>
      </w:pPr>
      <w:r>
        <w:rPr>
          <w:rFonts w:ascii="Avenir Next LT Pro" w:hAnsi="Avenir Next LT Pro"/>
          <w:b w:val="0"/>
          <w:i w:val="0"/>
          <w:color w:val="1C4076"/>
          <w:sz w:val="22"/>
        </w:rPr>
        <w:t>(b)</w:t>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pPr>
        <w:keepNext/>
        <w:tabs>
          <w:tab w:pos="708" w:val="left"/>
        </w:tabs>
        <w:spacing w:before="260" w:after="160"/>
        <w:ind w:left="708" w:hanging="708"/>
      </w:pPr>
      <w:r>
        <w:rPr>
          <w:rFonts w:ascii="Avenir Next LT Pro" w:hAnsi="Avenir Next LT Pro"/>
          <w:b/>
          <w:i w:val="0"/>
          <w:color w:val="1C4076"/>
          <w:sz w:val="28"/>
        </w:rPr>
        <w:t>1.3</w:t>
        <w:tab/>
        <w:t>Stakeholders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In the context of a Takeover Scenario, the stakeholders are (a) shareholders, (b) employees, (c) customers and business partners, (d) media, (e) financial analysts, (f) Nasdaq Copenhagen A/S (“Nasdaq Copenhagen”) and (g) the Danish Financial Supervisory Authority (in Danish “Finanstilsynet”).</w:t>
      </w:r>
    </w:p>
    <w:p>
      <w:pPr>
        <w:keepNext/>
        <w:tabs>
          <w:tab w:pos="708" w:val="left"/>
        </w:tabs>
        <w:spacing w:before="260" w:after="160"/>
        <w:ind w:left="708" w:hanging="708"/>
      </w:pPr>
      <w:r>
        <w:rPr>
          <w:rFonts w:ascii="Avenir Next LT Pro" w:hAnsi="Avenir Next LT Pro"/>
          <w:b/>
          <w:i w:val="0"/>
          <w:color w:val="1C4076"/>
          <w:sz w:val="28"/>
        </w:rPr>
        <w:t>1.4</w:t>
        <w:tab/>
        <w:t>Introduction to the legal framework</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A brief introduction to the legal framework applicable to a Takeover Scenario is set out in Appendix A.</w:t>
      </w:r>
    </w:p>
    <w:p>
      <w:pPr>
        <w:keepNext/>
        <w:tabs>
          <w:tab w:pos="708" w:val="left"/>
        </w:tabs>
        <w:spacing w:before="260" w:after="160"/>
        <w:ind w:left="708" w:hanging="708"/>
      </w:pPr>
      <w:r>
        <w:rPr>
          <w:rFonts w:ascii="Avenir Next LT Pro" w:hAnsi="Avenir Next LT Pro"/>
          <w:b/>
          <w:i w:val="0"/>
          <w:color w:val="1C4076"/>
          <w:sz w:val="28"/>
        </w:rPr>
        <w:t>2</w:t>
        <w:tab/>
        <w:t>Overview of responsibilities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Board of Directors</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Board of Directors is overall responsible for the Company’s conduct in a Takeover Scenario.</w:t>
      </w:r>
    </w:p>
    <w:p>
      <w:pPr>
        <w:tabs>
          <w:tab w:pos="708" w:val="left"/>
        </w:tabs>
        <w:spacing w:after="200"/>
        <w:ind w:left="708" w:hanging="708"/>
        <w:jc w:val="both"/>
      </w:pPr>
      <w:r>
        <w:rPr>
          <w:rFonts w:ascii="Avenir Next LT Pro" w:hAnsi="Avenir Next LT Pro"/>
          <w:b w:val="0"/>
          <w:i w:val="0"/>
          <w:color w:val="1C4076"/>
          <w:sz w:val="22"/>
        </w:rPr>
        <w:t>2.1.2</w:t>
        <w:tab/>
      </w:r>
      <w:r>
        <w:rPr>
          <w:rFonts w:ascii="Avenir Next LT Pro" w:hAnsi="Avenir Next LT Pro"/>
          <w:b w:val="0"/>
          <w:i w:val="0"/>
          <w:color w:val="1C4076"/>
          <w:sz w:val="22"/>
        </w:rPr>
        <w:t>The Chair of the Board of Directors shall, on behalf of the Board of Directors, investigate and evaluate any approach or takeover offer received. The Chair shall, on behalf of the Board of Directors, be in charge of negotiations with potential offerors.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Executive Management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Executive Management is responsible for the continued operation of the Company and for execution of specific tasks assigned to it by the Board of Directors in relation to a Takeover Scenario.</w:t>
      </w:r>
    </w:p>
    <w:p>
      <w:pPr>
        <w:tabs>
          <w:tab w:pos="708" w:val="left"/>
        </w:tabs>
        <w:spacing w:after="200"/>
        <w:ind w:left="708" w:hanging="708"/>
        <w:jc w:val="both"/>
      </w:pPr>
      <w:r>
        <w:rPr>
          <w:rFonts w:ascii="Avenir Next LT Pro" w:hAnsi="Avenir Next LT Pro"/>
          <w:b w:val="0"/>
          <w:i w:val="0"/>
          <w:color w:val="1C4076"/>
          <w:sz w:val="22"/>
        </w:rPr>
        <w:t>2.2.2</w:t>
        <w:tab/>
      </w:r>
      <w:r>
        <w:rPr>
          <w:rFonts w:ascii="Avenir Next LT Pro" w:hAnsi="Avenir Next LT Pro"/>
          <w:b w:val="0"/>
          <w:i w:val="0"/>
          <w:color w:val="1C4076"/>
          <w:sz w:val="22"/>
        </w:rPr>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General meeting</w:t>
      </w:r>
    </w:p>
    <w:p>
      <w:pPr>
        <w:tabs>
          <w:tab w:pos="708" w:val="left"/>
        </w:tabs>
        <w:spacing w:after="200"/>
        <w:ind w:left="708" w:hanging="708"/>
        <w:jc w:val="both"/>
      </w:pPr>
      <w:r>
        <w:rPr>
          <w:rFonts w:ascii="Avenir Next LT Pro" w:hAnsi="Avenir Next LT Pro"/>
          <w:b w:val="0"/>
          <w:i w:val="0"/>
          <w:color w:val="1C4076"/>
          <w:sz w:val="22"/>
        </w:rPr>
        <w:t>2.3.1</w:t>
        <w:tab/>
      </w:r>
      <w:r>
        <w:rPr>
          <w:rFonts w:ascii="Avenir Next LT Pro" w:hAnsi="Avenir Next LT Pro"/>
          <w:b w:val="0"/>
          <w:i w:val="0"/>
          <w:color w:val="1C4076"/>
          <w:sz w:val="22"/>
        </w:rPr>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pPr>
        <w:tabs>
          <w:tab w:pos="708" w:val="left"/>
        </w:tabs>
        <w:spacing w:after="200"/>
        <w:ind w:left="708" w:hanging="708"/>
        <w:jc w:val="both"/>
      </w:pPr>
      <w:r>
        <w:rPr>
          <w:rFonts w:ascii="Avenir Next LT Pro" w:hAnsi="Avenir Next LT Pro"/>
          <w:b w:val="0"/>
          <w:i w:val="0"/>
          <w:color w:val="1C4076"/>
          <w:sz w:val="22"/>
        </w:rPr>
        <w:t>2.3.2</w:t>
        <w:tab/>
      </w:r>
      <w:r>
        <w:rPr>
          <w:rFonts w:ascii="Avenir Next LT Pro" w:hAnsi="Avenir Next LT Pro"/>
          <w:b w:val="0"/>
          <w:i w:val="0"/>
          <w:color w:val="1C4076"/>
          <w:sz w:val="22"/>
        </w:rPr>
        <w:t>From the moment the Board of Directors has substantiated reason to believe that a takeover offer may be submitted, it shall not, without the approval of the general meeting, attempt to counter the takeover offer by taking actions which in reality seek to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3</w:t>
        <w:tab/>
        <w:t>Notification of a Takeover Scenario - formation of a Takeover Response Team</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If a Takeover Scenario occurs or if any member of the Board of Directors or the Executive Management has substantiated reason to believe that a Takeover Scenario is likely to occur, the Chair must be informed promptly.</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w:t>
      </w:r>
    </w:p>
    <w:p>
      <w:pPr>
        <w:keepNext/>
        <w:tabs>
          <w:tab w:pos="708" w:val="left"/>
        </w:tabs>
        <w:spacing w:before="260" w:after="160"/>
        <w:ind w:left="708" w:hanging="708"/>
      </w:pPr>
      <w:r>
        <w:rPr>
          <w:rFonts w:ascii="Avenir Next LT Pro" w:hAnsi="Avenir Next LT Pro"/>
          <w:b/>
          <w:i w:val="0"/>
          <w:color w:val="1C4076"/>
          <w:sz w:val="28"/>
        </w:rPr>
        <w:t>4</w:t>
        <w:tab/>
        <w:t>Initial considerations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With assistance from the Takeover Response Team, the Chair and the Vice Chair shall initially consider or act in respect of the following as well as other relevant matters:</w:t>
      </w:r>
    </w:p>
    <w:p>
      <w:pPr>
        <w:tabs>
          <w:tab w:pos="1416" w:val="left"/>
        </w:tabs>
        <w:spacing w:after="80"/>
        <w:ind w:left="1416" w:hanging="708"/>
      </w:pPr>
      <w:r>
        <w:rPr>
          <w:rFonts w:ascii="Avenir Next LT Pro" w:hAnsi="Avenir Next LT Pro"/>
          <w:b w:val="0"/>
          <w:i w:val="0"/>
          <w:color w:val="1C4076"/>
          <w:sz w:val="22"/>
        </w:rPr>
        <w:t>(a)</w:t>
        <w:tab/>
        <w:t>Decide whether disclosure of a company announcement is required or otherwise necessary or appropriate.</w:t>
      </w:r>
    </w:p>
    <w:p>
      <w:pPr>
        <w:tabs>
          <w:tab w:pos="1416" w:val="left"/>
        </w:tabs>
        <w:spacing w:after="80"/>
        <w:ind w:left="1416" w:hanging="708"/>
      </w:pPr>
      <w:r>
        <w:rPr>
          <w:rFonts w:ascii="Avenir Next LT Pro" w:hAnsi="Avenir Next LT Pro"/>
          <w:b w:val="0"/>
          <w:i w:val="0"/>
          <w:color w:val="1C4076"/>
          <w:sz w:val="22"/>
        </w:rPr>
        <w:t>(b)</w:t>
        <w:tab/>
        <w:t>Prepare an information leakage plan, including draft company announcements and automatic press alerts.</w:t>
      </w:r>
    </w:p>
    <w:p>
      <w:pPr>
        <w:tabs>
          <w:tab w:pos="1416" w:val="left"/>
        </w:tabs>
        <w:spacing w:after="80"/>
        <w:ind w:left="1416" w:hanging="708"/>
      </w:pPr>
      <w:r>
        <w:rPr>
          <w:rFonts w:ascii="Avenir Next LT Pro" w:hAnsi="Avenir Next LT Pro"/>
          <w:b w:val="0"/>
          <w:i w:val="0"/>
          <w:color w:val="1C4076"/>
          <w:sz w:val="22"/>
        </w:rPr>
        <w:t>(c)</w:t>
        <w:tab/>
        <w:t>Establish necessary measures to avoid insider trading and dissemination of inside information, including by setting up a special ad-hoc insider register.</w:t>
      </w:r>
    </w:p>
    <w:p>
      <w:pPr>
        <w:tabs>
          <w:tab w:pos="1416" w:val="left"/>
        </w:tabs>
        <w:spacing w:after="80"/>
        <w:ind w:left="1416" w:hanging="708"/>
      </w:pPr>
      <w:r>
        <w:rPr>
          <w:rFonts w:ascii="Avenir Next LT Pro" w:hAnsi="Avenir Next LT Pro"/>
          <w:b w:val="0"/>
          <w:i w:val="0"/>
          <w:color w:val="1C4076"/>
          <w:sz w:val="22"/>
        </w:rPr>
        <w:t>(d)</w:t>
        <w:tab/>
        <w:t>Decide whether to prohibit trading in treasury shares.</w:t>
      </w:r>
    </w:p>
    <w:p>
      <w:pPr>
        <w:tabs>
          <w:tab w:pos="1416" w:val="left"/>
        </w:tabs>
        <w:spacing w:after="80"/>
        <w:ind w:left="1416" w:hanging="708"/>
      </w:pPr>
      <w:r>
        <w:rPr>
          <w:rFonts w:ascii="Avenir Next LT Pro" w:hAnsi="Avenir Next LT Pro"/>
          <w:b w:val="0"/>
          <w:i w:val="0"/>
          <w:color w:val="1C4076"/>
          <w:sz w:val="22"/>
        </w:rPr>
        <w:t>(e)</w:t>
        <w:tab/>
        <w:t>Assess any potential conflicts of interest.</w:t>
      </w:r>
    </w:p>
    <w:p>
      <w:pPr>
        <w:tabs>
          <w:tab w:pos="1416" w:val="left"/>
        </w:tabs>
        <w:spacing w:after="80"/>
        <w:ind w:left="1416" w:hanging="708"/>
      </w:pPr>
      <w:r>
        <w:rPr>
          <w:rFonts w:ascii="Avenir Next LT Pro" w:hAnsi="Avenir Next LT Pro"/>
          <w:b w:val="0"/>
          <w:i w:val="0"/>
          <w:color w:val="1C4076"/>
          <w:sz w:val="22"/>
        </w:rPr>
        <w:t>(f)</w:t>
        <w:tab/>
        <w:t>Suspend or terminate any on-going discussions with the Executive Management on compensation and/or service terms.</w:t>
      </w:r>
    </w:p>
    <w:p>
      <w:pPr>
        <w:tabs>
          <w:tab w:pos="1416" w:val="left"/>
        </w:tabs>
        <w:spacing w:after="80"/>
        <w:ind w:left="1416" w:hanging="708"/>
      </w:pPr>
      <w:r>
        <w:rPr>
          <w:rFonts w:ascii="Avenir Next LT Pro" w:hAnsi="Avenir Next LT Pro"/>
          <w:b w:val="0"/>
          <w:i w:val="0"/>
          <w:color w:val="1C4076"/>
          <w:sz w:val="22"/>
        </w:rPr>
        <w:t>(g)</w:t>
        <w:tab/>
        <w:t>Engage financial advisers and other advisers (if deemed relevant).</w:t>
      </w:r>
    </w:p>
    <w:p>
      <w:pPr>
        <w:tabs>
          <w:tab w:pos="1416" w:val="left"/>
        </w:tabs>
        <w:spacing w:after="80"/>
        <w:ind w:left="1416" w:hanging="708"/>
      </w:pPr>
      <w:r>
        <w:rPr>
          <w:rFonts w:ascii="Avenir Next LT Pro" w:hAnsi="Avenir Next LT Pro"/>
          <w:b w:val="0"/>
          <w:i w:val="0"/>
          <w:color w:val="1C4076"/>
          <w:sz w:val="22"/>
        </w:rPr>
        <w:t>(h)</w:t>
        <w:tab/>
        <w:t>Identify the facts and analyse the details of the approach, proposal or takeover offer, as applicable (if deemed relevant).</w:t>
      </w:r>
    </w:p>
    <w:p>
      <w:pPr>
        <w:keepNext/>
        <w:tabs>
          <w:tab w:pos="708" w:val="left"/>
        </w:tabs>
        <w:spacing w:before="260" w:after="160"/>
        <w:ind w:left="708" w:hanging="708"/>
      </w:pPr>
      <w:r>
        <w:rPr>
          <w:rFonts w:ascii="Avenir Next LT Pro" w:hAnsi="Avenir Next LT Pro"/>
          <w:b/>
          <w:i w:val="0"/>
          <w:color w:val="1C4076"/>
          <w:sz w:val="28"/>
        </w:rPr>
        <w:t>5</w:t>
        <w:tab/>
        <w:t>Actions directed at shareholders and potential offerors</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Unless otherwise decided by the Board of Directors, the Chair shall be in charge of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pPr>
        <w:keepNext/>
        <w:tabs>
          <w:tab w:pos="708" w:val="left"/>
        </w:tabs>
        <w:spacing w:before="260" w:after="160"/>
        <w:ind w:left="708" w:hanging="708"/>
      </w:pPr>
      <w:r>
        <w:rPr>
          <w:rFonts w:ascii="Avenir Next LT Pro" w:hAnsi="Avenir Next LT Pro"/>
          <w:b/>
          <w:i w:val="0"/>
          <w:color w:val="1C4076"/>
          <w:sz w:val="28"/>
        </w:rPr>
        <w:t>6</w:t>
        <w:tab/>
        <w:t>Further considerations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pPr>
        <w:tabs>
          <w:tab w:pos="1416" w:val="left"/>
        </w:tabs>
        <w:spacing w:after="80"/>
        <w:ind w:left="1416" w:hanging="708"/>
      </w:pPr>
      <w:r>
        <w:rPr>
          <w:rFonts w:ascii="Avenir Next LT Pro" w:hAnsi="Avenir Next LT Pro"/>
          <w:b w:val="0"/>
          <w:i w:val="0"/>
          <w:color w:val="1C4076"/>
          <w:sz w:val="22"/>
        </w:rPr>
        <w:t>(a)</w:t>
        <w:tab/>
        <w:t>How to secure, to the widest extent possible, continued focus on the normal management and operations of the Company during the possible takeover process.</w:t>
      </w:r>
    </w:p>
    <w:p>
      <w:pPr>
        <w:tabs>
          <w:tab w:pos="1416" w:val="left"/>
        </w:tabs>
        <w:spacing w:after="80"/>
        <w:ind w:left="1416" w:hanging="708"/>
      </w:pPr>
      <w:r>
        <w:rPr>
          <w:rFonts w:ascii="Avenir Next LT Pro" w:hAnsi="Avenir Next LT Pro"/>
          <w:b w:val="0"/>
          <w:i w:val="0"/>
          <w:color w:val="1C4076"/>
          <w:sz w:val="22"/>
        </w:rPr>
        <w:t>(b)</w:t>
        <w:tab/>
        <w:t>Evaluate the offeror’s strategic position.</w:t>
      </w:r>
    </w:p>
    <w:p>
      <w:pPr>
        <w:tabs>
          <w:tab w:pos="1416" w:val="left"/>
        </w:tabs>
        <w:spacing w:after="80"/>
        <w:ind w:left="1416" w:hanging="708"/>
      </w:pPr>
      <w:r>
        <w:rPr>
          <w:rFonts w:ascii="Avenir Next LT Pro" w:hAnsi="Avenir Next LT Pro"/>
          <w:b w:val="0"/>
          <w:i w:val="0"/>
          <w:color w:val="1C4076"/>
          <w:sz w:val="22"/>
        </w:rPr>
        <w:t>(c)</w:t>
        <w:tab/>
        <w:t>Whether to allow a potential offeror access to confidential information in order for such offeror to perform due diligence investigations in respect of the Company.</w:t>
      </w:r>
    </w:p>
    <w:p>
      <w:pPr>
        <w:tabs>
          <w:tab w:pos="1416" w:val="left"/>
        </w:tabs>
        <w:spacing w:after="80"/>
        <w:ind w:left="1416" w:hanging="708"/>
      </w:pPr>
      <w:r>
        <w:rPr>
          <w:rFonts w:ascii="Avenir Next LT Pro" w:hAnsi="Avenir Next LT Pro"/>
          <w:b w:val="0"/>
          <w:i w:val="0"/>
          <w:color w:val="1C4076"/>
          <w:sz w:val="22"/>
        </w:rPr>
        <w:t>(d)</w:t>
        <w:tab/>
        <w:t>Requirements to be met by a potential offeror in order for the Board of Directors to be able to cooperate (non-disclosure obligations, stand-still obligations, etc.).</w:t>
      </w:r>
    </w:p>
    <w:p>
      <w:pPr>
        <w:tabs>
          <w:tab w:pos="1416" w:val="left"/>
        </w:tabs>
        <w:spacing w:after="80"/>
        <w:ind w:left="1416" w:hanging="708"/>
      </w:pPr>
      <w:r>
        <w:rPr>
          <w:rFonts w:ascii="Avenir Next LT Pro" w:hAnsi="Avenir Next LT Pro"/>
          <w:b w:val="0"/>
          <w:i w:val="0"/>
          <w:color w:val="1C4076"/>
          <w:sz w:val="22"/>
        </w:rPr>
        <w:t>(e)</w:t>
        <w:tab/>
        <w:t>Whether to grant exclusivity to an offeror and if so, determine the terms and conditions of such exclusivity.</w:t>
      </w:r>
    </w:p>
    <w:p>
      <w:pPr>
        <w:tabs>
          <w:tab w:pos="1416" w:val="left"/>
        </w:tabs>
        <w:spacing w:after="80"/>
        <w:ind w:left="1416" w:hanging="708"/>
      </w:pPr>
      <w:r>
        <w:rPr>
          <w:rFonts w:ascii="Avenir Next LT Pro" w:hAnsi="Avenir Next LT Pro"/>
          <w:b w:val="0"/>
          <w:i w:val="0"/>
          <w:color w:val="1C4076"/>
          <w:sz w:val="22"/>
        </w:rPr>
        <w:t>(f)</w:t>
        <w:tab/>
        <w:t>Whether to actively pursue other competing offers.</w:t>
      </w:r>
    </w:p>
    <w:p>
      <w:pPr>
        <w:tabs>
          <w:tab w:pos="1416" w:val="left"/>
        </w:tabs>
        <w:spacing w:after="80"/>
        <w:ind w:left="1416" w:hanging="708"/>
      </w:pPr>
      <w:r>
        <w:rPr>
          <w:rFonts w:ascii="Avenir Next LT Pro" w:hAnsi="Avenir Next LT Pro"/>
          <w:b w:val="0"/>
          <w:i w:val="0"/>
          <w:color w:val="1C4076"/>
          <w:sz w:val="22"/>
        </w:rPr>
        <w:t>(g)</w:t>
        <w:tab/>
        <w:t>Possibilities of negotiating a higher offer price or an improvement of other terms of the takeover offer with the offeror in question.</w:t>
      </w:r>
    </w:p>
    <w:p>
      <w:pPr>
        <w:tabs>
          <w:tab w:pos="1416" w:val="left"/>
        </w:tabs>
        <w:spacing w:after="80"/>
        <w:ind w:left="1416" w:hanging="708"/>
      </w:pPr>
      <w:r>
        <w:rPr>
          <w:rFonts w:ascii="Avenir Next LT Pro" w:hAnsi="Avenir Next LT Pro"/>
          <w:b w:val="0"/>
          <w:i w:val="0"/>
          <w:color w:val="1C4076"/>
          <w:sz w:val="22"/>
        </w:rPr>
        <w:t>(h)</w:t>
        <w:tab/>
        <w:t>Whether it is necessary or advisable to obtain a fairness opinion from an independent financial adviser.</w:t>
      </w:r>
    </w:p>
    <w:p>
      <w:pPr>
        <w:tabs>
          <w:tab w:pos="1416" w:val="left"/>
        </w:tabs>
        <w:spacing w:after="80"/>
        <w:ind w:left="1416" w:hanging="708"/>
      </w:pPr>
      <w:r>
        <w:rPr>
          <w:rFonts w:ascii="Avenir Next LT Pro" w:hAnsi="Avenir Next LT Pro"/>
          <w:b w:val="0"/>
          <w:i w:val="0"/>
          <w:color w:val="1C4076"/>
          <w:sz w:val="22"/>
        </w:rPr>
        <w:t>(i)</w:t>
        <w:tab/>
        <w:t>Potential reactions from relevant stakeholders, including shareholders, employees, media and financial analysts.</w:t>
      </w:r>
    </w:p>
    <w:p>
      <w:pPr>
        <w:tabs>
          <w:tab w:pos="1416" w:val="left"/>
        </w:tabs>
        <w:spacing w:after="80"/>
        <w:ind w:left="1416" w:hanging="708"/>
      </w:pPr>
      <w:r>
        <w:rPr>
          <w:rFonts w:ascii="Avenir Next LT Pro" w:hAnsi="Avenir Next LT Pro"/>
          <w:b w:val="0"/>
          <w:i w:val="0"/>
          <w:color w:val="1C4076"/>
          <w:sz w:val="22"/>
        </w:rPr>
        <w:t>(j)</w:t>
        <w:tab/>
        <w:t>Issues in relation to relevant stakeholders other than the shareholders.</w:t>
      </w:r>
    </w:p>
    <w:p>
      <w:pPr>
        <w:tabs>
          <w:tab w:pos="1416" w:val="left"/>
        </w:tabs>
        <w:spacing w:after="80"/>
        <w:ind w:left="1416" w:hanging="708"/>
      </w:pPr>
      <w:r>
        <w:rPr>
          <w:rFonts w:ascii="Avenir Next LT Pro" w:hAnsi="Avenir Next LT Pro"/>
          <w:b w:val="0"/>
          <w:i w:val="0"/>
          <w:color w:val="1C4076"/>
          <w:sz w:val="22"/>
        </w:rPr>
        <w:t>(k)</w:t>
        <w:tab/>
        <w:t>Whether the Company should be willing to accept proposals from potential offerors in respect of deal certainty/protection (e.g. cost coverage, break fee, no-shop, stand-still obligations, etc.).</w:t>
      </w:r>
    </w:p>
    <w:p>
      <w:pPr>
        <w:tabs>
          <w:tab w:pos="1416" w:val="left"/>
        </w:tabs>
        <w:spacing w:after="80"/>
        <w:ind w:left="1416" w:hanging="708"/>
      </w:pPr>
      <w:r>
        <w:rPr>
          <w:rFonts w:ascii="Avenir Next LT Pro" w:hAnsi="Avenir Next LT Pro"/>
          <w:b w:val="0"/>
          <w:i w:val="0"/>
          <w:color w:val="1C4076"/>
          <w:sz w:val="22"/>
        </w:rPr>
        <w:t>(l)</w:t>
        <w:tab/>
        <w:t>Evaluate whether existing structures and arrangements of the Company’s business (change of control issues, contracts, negative pledges, etc.) may be regarded as defensive mechanisms and consider relevant reactions as a result hereof, if any.</w:t>
      </w:r>
    </w:p>
    <w:p>
      <w:pPr>
        <w:tabs>
          <w:tab w:pos="1416" w:val="left"/>
        </w:tabs>
        <w:spacing w:after="80"/>
        <w:ind w:left="1416" w:hanging="708"/>
      </w:pPr>
      <w:r>
        <w:rPr>
          <w:rFonts w:ascii="Avenir Next LT Pro" w:hAnsi="Avenir Next LT Pro"/>
          <w:b w:val="0"/>
          <w:i w:val="0"/>
          <w:color w:val="1C4076"/>
          <w:sz w:val="22"/>
        </w:rPr>
        <w:t>(m)</w:t>
        <w:tab/>
        <w:t>Whether the Company should accept to assist the offeror in obtaining irrevocable commitments from certain shareholders.</w:t>
      </w:r>
    </w:p>
    <w:p>
      <w:pPr>
        <w:tabs>
          <w:tab w:pos="1416" w:val="left"/>
        </w:tabs>
        <w:spacing w:after="80"/>
        <w:ind w:left="1416" w:hanging="708"/>
      </w:pPr>
      <w:r>
        <w:rPr>
          <w:rFonts w:ascii="Avenir Next LT Pro" w:hAnsi="Avenir Next LT Pro"/>
          <w:b w:val="0"/>
          <w:i w:val="0"/>
          <w:color w:val="1C4076"/>
          <w:sz w:val="22"/>
        </w:rPr>
        <w:t>(n)</w:t>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pPr>
        <w:tabs>
          <w:tab w:pos="1416" w:val="left"/>
        </w:tabs>
        <w:spacing w:after="80"/>
        <w:ind w:left="1416" w:hanging="708"/>
      </w:pPr>
      <w:r>
        <w:rPr>
          <w:rFonts w:ascii="Avenir Next LT Pro" w:hAnsi="Avenir Next LT Pro"/>
          <w:b w:val="0"/>
          <w:i w:val="0"/>
          <w:color w:val="1C4076"/>
          <w:sz w:val="22"/>
        </w:rPr>
        <w:t>(o)</w:t>
        <w:tab/>
        <w:t>The need for a “wash-clean” announcement (i.e. an announcement disclosing existing inside information within the Company) preferably before launch of the public offer in any case prior to the acceptance of the offer by the shareholders.</w:t>
      </w:r>
    </w:p>
    <w:p>
      <w:pPr>
        <w:keepNext/>
        <w:tabs>
          <w:tab w:pos="708" w:val="left"/>
        </w:tabs>
        <w:spacing w:before="260" w:after="160"/>
        <w:ind w:left="708" w:hanging="708"/>
      </w:pPr>
      <w:r>
        <w:rPr>
          <w:rFonts w:ascii="Avenir Next LT Pro" w:hAnsi="Avenir Next LT Pro"/>
          <w:b/>
          <w:i w:val="0"/>
          <w:color w:val="1C4076"/>
          <w:sz w:val="28"/>
        </w:rPr>
        <w:t>7</w:t>
        <w:tab/>
        <w:t>Communication</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In connection with a Takeover Scenario, the Chair shall decide on the appropriate external and internal communication strategy and act as sole spokesman in relation thereto. Unless specifically approved by the Chair, no other person shall be entitled to make any statement, neither externally nor internally, in relation to the Takeover Scenario and shall refer any third party communication to the Chair.</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effected.</w:t>
      </w:r>
    </w:p>
    <w:p>
      <w:pPr>
        <w:spacing w:after="200"/>
        <w:jc w:val="center"/>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Introduction to the legal framework</w:t>
      </w: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legal framework relevant in the event of a Takeover Scenario includes the Danish Capital Markets Act (in Danish “</w:t>
      </w:r>
      <w:r>
        <w:rPr>
          <w:rFonts w:ascii="Avenir Next LT Pro" w:hAnsi="Avenir Next LT Pro"/>
          <w:b w:val="0"/>
          <w:i/>
          <w:color w:val="1C4076"/>
          <w:sz w:val="22"/>
        </w:rPr>
        <w:t>kapitalmarkedsloven</w:t>
      </w:r>
      <w:r>
        <w:rPr>
          <w:rFonts w:ascii="Avenir Next LT Pro" w:hAnsi="Avenir Next LT Pro"/>
          <w:b w:val="0"/>
          <w:i w:val="0"/>
          <w:color w:val="1C4076"/>
          <w:sz w:val="22"/>
        </w:rPr>
        <w:t>”), the Market Abuse Regulation (in Danish “</w:t>
      </w:r>
      <w:r>
        <w:rPr>
          <w:rFonts w:ascii="Avenir Next LT Pro" w:hAnsi="Avenir Next LT Pro"/>
          <w:b w:val="0"/>
          <w:i/>
          <w:color w:val="1C4076"/>
          <w:sz w:val="22"/>
        </w:rPr>
        <w:t>markedsmisbrugsforordningen</w:t>
      </w:r>
      <w:r>
        <w:rPr>
          <w:rFonts w:ascii="Avenir Next LT Pro" w:hAnsi="Avenir Next LT Pro"/>
          <w:b w:val="0"/>
          <w:i w:val="0"/>
          <w:color w:val="1C4076"/>
          <w:sz w:val="22"/>
        </w:rPr>
        <w:t>”) the Danish Companies Act (in Danish “</w:t>
      </w:r>
      <w:r>
        <w:rPr>
          <w:rFonts w:ascii="Avenir Next LT Pro" w:hAnsi="Avenir Next LT Pro"/>
          <w:b w:val="0"/>
          <w:i/>
          <w:color w:val="1C4076"/>
          <w:sz w:val="22"/>
        </w:rPr>
        <w:t>selskabsloven</w:t>
      </w:r>
      <w:r>
        <w:rPr>
          <w:rFonts w:ascii="Avenir Next LT Pro" w:hAnsi="Avenir Next LT Pro"/>
          <w:b w:val="0"/>
          <w:i w:val="0"/>
          <w:color w:val="1C4076"/>
          <w:sz w:val="22"/>
        </w:rPr>
        <w:t>”), the Danish Executive Order on Takeover Offers (in Danish “</w:t>
      </w:r>
      <w:r>
        <w:rPr>
          <w:rFonts w:ascii="Avenir Next LT Pro" w:hAnsi="Avenir Next LT Pro"/>
          <w:b w:val="0"/>
          <w:i/>
          <w:color w:val="1C4076"/>
          <w:sz w:val="22"/>
        </w:rPr>
        <w:t>bekendtgørelse</w:t>
      </w:r>
      <w:r>
        <w:rPr>
          <w:rFonts w:ascii="Avenir Next LT Pro" w:hAnsi="Avenir Next LT Pro"/>
          <w:b w:val="0"/>
          <w:i/>
          <w:color w:val="1C4076"/>
          <w:sz w:val="22"/>
        </w:rPr>
        <w:t xml:space="preserve"> om </w:t>
      </w:r>
      <w:r>
        <w:rPr>
          <w:rFonts w:ascii="Avenir Next LT Pro" w:hAnsi="Avenir Next LT Pro"/>
          <w:b w:val="0"/>
          <w:i/>
          <w:color w:val="1C4076"/>
          <w:sz w:val="22"/>
        </w:rPr>
        <w:t>overtagelsestilbud</w:t>
      </w:r>
      <w:r>
        <w:rPr>
          <w:rFonts w:ascii="Avenir Next LT Pro" w:hAnsi="Avenir Next LT Pro"/>
          <w:b w:val="0"/>
          <w:i w:val="0"/>
          <w:color w:val="1C4076"/>
          <w:sz w:val="22"/>
        </w:rPr>
        <w:t>”) and the Guidelines on the Danish Executive Order on Takeover Offers.</w:t>
      </w:r>
    </w:p>
    <w:p>
      <w:pPr>
        <w:keepNext/>
        <w:tabs>
          <w:tab w:pos="708" w:val="left"/>
        </w:tabs>
        <w:spacing w:before="260" w:after="160"/>
        <w:ind w:left="708" w:hanging="708"/>
      </w:pPr>
      <w:r>
        <w:rPr>
          <w:rFonts w:ascii="Avenir Next LT Pro" w:hAnsi="Avenir Next LT Pro"/>
          <w:b/>
          <w:i w:val="0"/>
          <w:color w:val="1C4076"/>
          <w:sz w:val="28"/>
        </w:rPr>
        <w:t>2</w:t>
        <w:tab/>
        <w:t>Responsibility of the shareholders and the general meeting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relevant.</w:t>
      </w:r>
    </w:p>
    <w:p>
      <w:pPr>
        <w:keepNext/>
        <w:tabs>
          <w:tab w:pos="708" w:val="left"/>
        </w:tabs>
        <w:spacing w:before="260" w:after="160"/>
        <w:ind w:left="708" w:hanging="708"/>
      </w:pPr>
      <w:r>
        <w:rPr>
          <w:rFonts w:ascii="Avenir Next LT Pro" w:hAnsi="Avenir Next LT Pro"/>
          <w:b/>
          <w:i w:val="0"/>
          <w:color w:val="1C4076"/>
          <w:sz w:val="28"/>
        </w:rPr>
        <w:t>3</w:t>
        <w:tab/>
        <w:t>Responsibility of the Board of Directors and Executive Management in connection with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Division of responsibilities</w:t>
            </w:r>
          </w:p>
        </w:tc>
        <w:tc>
          <w:tcPr>
            <w:tcW w:type="dxa" w:w="5103"/>
            <w:shd w:val="clear" w:fill="1C4076"/>
          </w:tcPr>
          <w:p>
            <w:r/>
            <w:r>
              <w:rPr>
                <w:rFonts w:ascii="Avenir Next LT Pro" w:hAnsi="Avenir Next LT Pro"/>
                <w:b/>
                <w:i w:val="0"/>
                <w:color w:val="FFFFFF"/>
                <w:sz w:val="17"/>
              </w:rPr>
              <w:t>The Board of Directors is responsible for the overall strategy, organisation and control systems of the Company and for reacting on the Company’s behalf in a Takeover Scenario.</w:t>
              <w:br/>
              <w:t>The Executive Management is responsible for the day-to-day management of the Company and for the execution of tasks assigned to it by the Board of Directors in relation to the Takeover Scenario.</w:t>
            </w:r>
          </w:p>
        </w:tc>
      </w:tr>
      <w:tr>
        <w:tc>
          <w:tcPr>
            <w:tcW w:type="dxa" w:w="5103"/>
          </w:tcPr>
          <w:p>
            <w:r/>
            <w:r>
              <w:rPr>
                <w:rFonts w:ascii="Avenir Next LT Pro" w:hAnsi="Avenir Next LT Pro"/>
                <w:b w:val="0"/>
                <w:i w:val="0"/>
                <w:color w:val="1C4076"/>
                <w:sz w:val="17"/>
              </w:rPr>
              <w:t>General liability standard</w:t>
            </w:r>
          </w:p>
        </w:tc>
        <w:tc>
          <w:tcPr>
            <w:tcW w:type="dxa" w:w="5103"/>
          </w:tcPr>
          <w:p>
            <w:r/>
            <w:r>
              <w:rPr>
                <w:rFonts w:ascii="Avenir Next LT Pro" w:hAnsi="Avenir Next LT Pro"/>
                <w:b w:val="0"/>
                <w:i w:val="0"/>
                <w:color w:val="1C4076"/>
                <w:sz w:val="17"/>
              </w:rPr>
              <w:t>Negligence, i.e. failure to demonstrate due and proper care in connection with acts or omissions.</w:t>
            </w:r>
          </w:p>
        </w:tc>
      </w:tr>
      <w:tr>
        <w:tc>
          <w:tcPr>
            <w:tcW w:type="dxa" w:w="5103"/>
          </w:tcPr>
          <w:p>
            <w:r/>
            <w:r>
              <w:rPr>
                <w:rFonts w:ascii="Avenir Next LT Pro" w:hAnsi="Avenir Next LT Pro"/>
                <w:b w:val="0"/>
                <w:i w:val="0"/>
                <w:color w:val="1C4076"/>
                <w:sz w:val="17"/>
              </w:rPr>
              <w:t>Specific liability regarding trading in securities</w:t>
            </w:r>
          </w:p>
        </w:tc>
        <w:tc>
          <w:tcPr>
            <w:tcW w:type="dxa" w:w="5103"/>
          </w:tcPr>
          <w:p>
            <w:r/>
            <w:r>
              <w:rPr>
                <w:rFonts w:ascii="Avenir Next LT Pro" w:hAnsi="Avenir Next LT Pro"/>
                <w:b w:val="0"/>
                <w:i w:val="0"/>
                <w:color w:val="1C4076"/>
                <w:sz w:val="17"/>
              </w:rPr>
              <w:t>The Board of Directors and the Executive Management are responsible for securing equal and timely dissemination of inside information (subject to disclosure requirements) and for limiting the risk of insider trading.</w:t>
            </w:r>
          </w:p>
        </w:tc>
      </w:tr>
      <w:tr>
        <w:tc>
          <w:tcPr>
            <w:tcW w:type="dxa" w:w="5103"/>
          </w:tcPr>
          <w:p>
            <w:r/>
            <w:r>
              <w:rPr>
                <w:rFonts w:ascii="Avenir Next LT Pro" w:hAnsi="Avenir Next LT Pro"/>
                <w:b w:val="0"/>
                <w:i w:val="0"/>
                <w:color w:val="1C4076"/>
                <w:sz w:val="17"/>
              </w:rPr>
              <w:t>Specific liability in Takeover Scenarios</w:t>
            </w:r>
          </w:p>
        </w:tc>
        <w:tc>
          <w:tcPr>
            <w:tcW w:type="dxa" w:w="5103"/>
          </w:tcPr>
          <w:p>
            <w:r/>
            <w:r>
              <w:rPr>
                <w:rFonts w:ascii="Avenir Next LT Pro" w:hAnsi="Avenir Next LT Pro"/>
                <w:b w:val="0"/>
                <w:i w:val="0"/>
                <w:color w:val="1C4076"/>
                <w:sz w:val="17"/>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br/>
              <w:t>i. The Board of Directors and the Executive Management have a fundamental obligation to take due care of the interests of the Company and its shareholders.</w:t>
              <w:br/>
              <w:t>ii. The Board of Directors and the Executive Management have an obligation not to act in a way which is clearly capable of providing certain shareholders or third parties with an undue advantage to the detriment of the other shareholders or the Company.</w:t>
              <w:br/>
              <w:t>iii. To conduct “business as usual” is always permissible.</w:t>
              <w:br/>
              <w:t>iv. The Board of Directors and the Executive Management may be held liable if measures of a defensive character are not justified by a reasonable business judgement or cannot be characterised as business as usual.</w:t>
              <w:br/>
              <w:t>Special attention should also be given to</w:t>
              <w:br/>
              <w:t>i. possible conflicting interests between the Company (as an organisation) and the shareholders; and</w:t>
              <w:br/>
              <w:t>ii. possible conflicting interests between different groups of shareholders.</w:t>
            </w:r>
          </w:p>
        </w:tc>
      </w:tr>
      <w:tr>
        <w:tc>
          <w:tcPr>
            <w:tcW w:type="dxa" w:w="5103"/>
          </w:tcPr>
          <w:p>
            <w:r/>
            <w:r>
              <w:rPr>
                <w:rFonts w:ascii="Avenir Next LT Pro" w:hAnsi="Avenir Next LT Pro"/>
                <w:b w:val="0"/>
                <w:i w:val="0"/>
                <w:color w:val="1C4076"/>
                <w:sz w:val="17"/>
              </w:rPr>
              <w:t>The Danish Executive Order on Takeover Offers Section 19</w:t>
            </w:r>
          </w:p>
        </w:tc>
        <w:tc>
          <w:tcPr>
            <w:tcW w:type="dxa" w:w="5103"/>
          </w:tcPr>
          <w:p>
            <w:r/>
            <w:r>
              <w:rPr>
                <w:rFonts w:ascii="Avenir Next LT Pro" w:hAnsi="Avenir Next LT Pro"/>
                <w:b w:val="0"/>
                <w:i w:val="0"/>
                <w:color w:val="1C4076"/>
                <w:sz w:val="17"/>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tc>
          <w:tcPr>
            <w:tcW w:type="dxa" w:w="5103"/>
          </w:tcPr>
          <w:p>
            <w:r/>
            <w:r>
              <w:rPr>
                <w:rFonts w:ascii="Avenir Next LT Pro" w:hAnsi="Avenir Next LT Pro"/>
                <w:b w:val="0"/>
                <w:i w:val="0"/>
                <w:color w:val="1C4076"/>
                <w:sz w:val="17"/>
              </w:rPr>
              <w:t>The Danish Recommendations on Corporate Governance</w:t>
            </w:r>
          </w:p>
        </w:tc>
        <w:tc>
          <w:tcPr>
            <w:tcW w:type="dxa" w:w="5103"/>
          </w:tcPr>
          <w:p>
            <w:r/>
            <w:r>
              <w:rPr>
                <w:rFonts w:ascii="Avenir Next LT Pro" w:hAnsi="Avenir Next LT Pro"/>
                <w:b w:val="0"/>
                <w:i w:val="0"/>
                <w:color w:val="1C4076"/>
                <w:sz w:val="17"/>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pPr>
        <w:keepNext/>
        <w:tabs>
          <w:tab w:pos="708" w:val="left"/>
        </w:tabs>
        <w:spacing w:before="260" w:after="160"/>
        <w:ind w:left="708" w:hanging="708"/>
      </w:pPr>
      <w:r>
        <w:rPr>
          <w:rFonts w:ascii="Avenir Next LT Pro" w:hAnsi="Avenir Next LT Pro"/>
          <w:b/>
          <w:i w:val="0"/>
          <w:color w:val="1C4076"/>
          <w:sz w:val="28"/>
        </w:rPr>
        <w:t>4</w:t>
        <w:tab/>
        <w:t>Public offers in Denmark</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Key procedures in case of mandatory and voluntary offers can generally be outlined as follows: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Offer document</w:t>
            </w:r>
          </w:p>
        </w:tc>
        <w:tc>
          <w:tcPr>
            <w:tcW w:type="dxa" w:w="5103"/>
          </w:tcPr>
          <w:p>
            <w:r/>
            <w:r>
              <w:rPr>
                <w:rFonts w:ascii="Avenir Next LT Pro" w:hAnsi="Avenir Next LT Pro"/>
                <w:b w:val="0"/>
                <w:i w:val="0"/>
                <w:color w:val="1C4076"/>
                <w:sz w:val="17"/>
              </w:rPr>
              <w:t>The offeror must draw up an offer document containing adequate information in order for the shareholders of the Company to be able to form a well-founded opinion on the offer.</w:t>
              <w:br/>
              <w:t>The offer must as a general rule, provide equal treatment to shareholders of the same share class. The offer document shall at least address a number of identified issues, such as (but not limited to):</w:t>
              <w:br/>
              <w:t>a. The identity of the offeror(s),</w:t>
              <w:br/>
              <w:t>b. The offeror(s)’ current holding of shares in the Company or control over voting rights,</w:t>
              <w:br/>
              <w:t>c. The price offered (cash or shares),</w:t>
              <w:br/>
              <w:t>d. Financing,</w:t>
              <w:br/>
              <w:t>e. Future plans for the Company, including possible restructurings and employment perspectives, and</w:t>
              <w:br/>
              <w:t>f. Details of related party arrangements regarding use of the voting rights of the Company.</w:t>
              <w:br/>
              <w:t>The acceptance period in the offer must be at least four weeks and may not exceed ten weeks. The offer period may, however, be extended beyond ten weeks, provided that the terms of the offer are changed or if competing offers are submitted.</w:t>
              <w:br/>
              <w:t>An offeror’s decision to submit an offer shall be published immediately. The offer document shall then be approved and published by the offeror as soon as possible, but within four weeks at the latest.</w:t>
            </w:r>
          </w:p>
        </w:tc>
      </w:tr>
      <w:tr>
        <w:tc>
          <w:tcPr>
            <w:tcW w:type="dxa" w:w="5103"/>
          </w:tcPr>
          <w:p>
            <w:r/>
            <w:r>
              <w:rPr>
                <w:rFonts w:ascii="Avenir Next LT Pro" w:hAnsi="Avenir Next LT Pro"/>
                <w:b w:val="0"/>
                <w:i w:val="0"/>
                <w:color w:val="1C4076"/>
                <w:sz w:val="17"/>
              </w:rPr>
              <w:t>Duties of the Company</w:t>
            </w:r>
          </w:p>
        </w:tc>
        <w:tc>
          <w:tcPr>
            <w:tcW w:type="dxa" w:w="5103"/>
          </w:tcPr>
          <w:p>
            <w:r/>
            <w:r>
              <w:rPr>
                <w:rFonts w:ascii="Avenir Next LT Pro" w:hAnsi="Avenir Next LT Pro"/>
                <w:b w:val="0"/>
                <w:i w:val="0"/>
                <w:color w:val="1C4076"/>
                <w:sz w:val="17"/>
              </w:rPr>
              <w:t>The offeror’s announcement of the decision to submit an offer will usually, upon the request of the offeror, be distributed by the Company as a company announcement.</w:t>
              <w:br/>
              <w:t>The offer advertisement, the Board of Directors’ statement, see below, and other relevant documentation (if so requested by the offeror) must be sent to all registered shareholders by the Company at the expense of the offeror. The offeror has a statutory right to request distribution of other relevant documentation three times. Following such three distributions, the Company may reject to distribute any further material.</w:t>
            </w:r>
          </w:p>
        </w:tc>
      </w:tr>
      <w:tr>
        <w:tc>
          <w:tcPr>
            <w:tcW w:type="dxa" w:w="5103"/>
          </w:tcPr>
          <w:p>
            <w:r/>
            <w:r>
              <w:rPr>
                <w:rFonts w:ascii="Avenir Next LT Pro" w:hAnsi="Avenir Next LT Pro"/>
                <w:b w:val="0"/>
                <w:i w:val="0"/>
                <w:color w:val="1C4076"/>
                <w:sz w:val="17"/>
              </w:rPr>
              <w:t>The Danish Financial Supervisory Authority and Nasdaq Copenhagen</w:t>
            </w:r>
          </w:p>
        </w:tc>
        <w:tc>
          <w:tcPr>
            <w:tcW w:type="dxa" w:w="5103"/>
          </w:tcPr>
          <w:p>
            <w:r/>
            <w:r>
              <w:rPr>
                <w:rFonts w:ascii="Avenir Next LT Pro" w:hAnsi="Avenir Next LT Pro"/>
                <w:b w:val="0"/>
                <w:i w:val="0"/>
                <w:color w:val="1C4076"/>
                <w:sz w:val="17"/>
              </w:rPr>
              <w:t>The Danish Financial Supervisory Authority acts as the competent authority with respect to compliance with the rules and regulations on takeover offers.</w:t>
              <w:br/>
              <w:t>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effected. The offeror in question has a similar duty to notify Nasdaq Copenhagen prior to announcing the intention to submit an offer.</w:t>
            </w:r>
          </w:p>
        </w:tc>
      </w:tr>
      <w:tr>
        <w:tc>
          <w:tcPr>
            <w:tcW w:type="dxa" w:w="5103"/>
          </w:tcPr>
          <w:p>
            <w:r/>
            <w:r>
              <w:rPr>
                <w:rFonts w:ascii="Avenir Next LT Pro" w:hAnsi="Avenir Next LT Pro"/>
                <w:b w:val="0"/>
                <w:i w:val="0"/>
                <w:color w:val="1C4076"/>
                <w:sz w:val="17"/>
              </w:rPr>
              <w:t>Statement by the Board of Directors</w:t>
            </w:r>
          </w:p>
        </w:tc>
        <w:tc>
          <w:tcPr>
            <w:tcW w:type="dxa" w:w="5103"/>
          </w:tcPr>
          <w:p>
            <w:r/>
            <w:r>
              <w:rPr>
                <w:rFonts w:ascii="Avenir Next LT Pro" w:hAnsi="Avenir Next LT Pro"/>
                <w:b w:val="0"/>
                <w:i w:val="0"/>
                <w:color w:val="1C4076"/>
                <w:sz w:val="17"/>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 on employment and the locations of the Company’s places of business as set out in the offer documents. The Board of Directors is allowed to emphasise all relevant pro’s and con’s such as ethical matters and matters relating to employment, etc.</w:t>
              <w:br/>
              <w:t>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w:t>
              <w:br/>
              <w:t>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on the effects of the takeover offer on employment, that statement shall be made public immediately.</w:t>
              <w:br/>
              <w:t>Immediately after publication, the Company shall publish the Board of Directors’ statement on its website and send the statement to all registered shareholders at the expense of the offeror.</w:t>
            </w:r>
          </w:p>
        </w:tc>
      </w:tr>
    </w:tbl>
    <w:p>
      <w:pPr>
        <w:keepNext/>
        <w:spacing w:before="120" w:after="80"/>
      </w:pPr>
      <w:r>
        <w:rPr>
          <w:rFonts w:ascii="Avenir Next LT Pro" w:hAnsi="Avenir Next LT Pro"/>
          <w:b/>
          <w:i w:val="0"/>
          <w:color w:val="1C4076"/>
          <w:sz w:val="24"/>
        </w:rPr>
        <w:t>Appendix B – List of relevant contact persons and relevant advisers in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BioMar Group A/S</w:t>
            </w:r>
          </w:p>
        </w:tc>
        <w:tc>
          <w:tcPr>
            <w:tcW w:type="dxa" w:w="5103"/>
            <w:shd w:val="clear" w:fill="1C4076"/>
          </w:tcPr>
          <w:p>
            <w:r/>
            <w:r>
              <w:rPr>
                <w:rFonts w:ascii="Avenir Next LT Pro" w:hAnsi="Avenir Next LT Pro"/>
                <w:b/>
                <w:i w:val="0"/>
                <w:color w:val="FFFFFF"/>
                <w:sz w:val="17"/>
              </w:rPr>
              <w:t>BioMar Group A/S</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Jens Bjerg Sørensen</w:t>
              <w:br/>
              <w:t>Chair of the Board of Directors</w:t>
            </w:r>
          </w:p>
        </w:tc>
        <w:tc>
          <w:tcPr>
            <w:tcW w:type="dxa" w:w="5103"/>
          </w:tcPr>
          <w:p>
            <w:r/>
            <w:r>
              <w:rPr>
                <w:rFonts w:ascii="Avenir Next LT Pro" w:hAnsi="Avenir Next LT Pro"/>
                <w:b w:val="0"/>
                <w:i w:val="0"/>
                <w:color w:val="1C4076"/>
                <w:sz w:val="17"/>
              </w:rPr>
              <w:t>Email: jbs@schouw.dk</w:t>
            </w:r>
          </w:p>
        </w:tc>
      </w:tr>
      <w:tr>
        <w:tc>
          <w:tcPr>
            <w:tcW w:type="dxa" w:w="5103"/>
          </w:tcPr>
          <w:p>
            <w:r/>
            <w:r>
              <w:rPr>
                <w:rFonts w:ascii="Avenir Next LT Pro" w:hAnsi="Avenir Next LT Pro"/>
                <w:b w:val="0"/>
                <w:i w:val="0"/>
                <w:color w:val="1C4076"/>
                <w:sz w:val="17"/>
              </w:rPr>
              <w:t>Carlos Armando Diaz Verdugo</w:t>
              <w:br/>
              <w:t>CEO</w:t>
            </w:r>
          </w:p>
        </w:tc>
        <w:tc>
          <w:tcPr>
            <w:tcW w:type="dxa" w:w="5103"/>
          </w:tcPr>
          <w:p>
            <w:r/>
            <w:r>
              <w:rPr>
                <w:rFonts w:ascii="Avenir Next LT Pro" w:hAnsi="Avenir Next LT Pro"/>
                <w:b w:val="0"/>
                <w:i w:val="0"/>
                <w:color w:val="1C4076"/>
                <w:sz w:val="17"/>
              </w:rPr>
              <w:t>Email: cdiaz@biomar.com</w:t>
            </w:r>
          </w:p>
        </w:tc>
      </w:tr>
      <w:tr>
        <w:tc>
          <w:tcPr>
            <w:tcW w:type="dxa" w:w="5103"/>
          </w:tcPr>
          <w:p>
            <w:r/>
            <w:r>
              <w:rPr>
                <w:rFonts w:ascii="Avenir Next LT Pro" w:hAnsi="Avenir Next LT Pro"/>
                <w:b w:val="0"/>
                <w:i w:val="0"/>
                <w:color w:val="1C4076"/>
                <w:sz w:val="17"/>
              </w:rPr>
              <w:t>Claus Eskildsen</w:t>
              <w:br/>
              <w:t>CFO</w:t>
            </w:r>
          </w:p>
        </w:tc>
        <w:tc>
          <w:tcPr>
            <w:tcW w:type="dxa" w:w="5103"/>
          </w:tcPr>
          <w:p>
            <w:r/>
            <w:r>
              <w:rPr>
                <w:rFonts w:ascii="Avenir Next LT Pro" w:hAnsi="Avenir Next LT Pro"/>
                <w:b w:val="0"/>
                <w:i w:val="0"/>
                <w:color w:val="1C4076"/>
                <w:sz w:val="17"/>
              </w:rPr>
              <w:t>Email: ces@biomar.com</w:t>
            </w:r>
          </w:p>
        </w:tc>
      </w:tr>
    </w:tbl>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Legal advisor</w:t>
            </w:r>
          </w:p>
        </w:tc>
        <w:tc>
          <w:tcPr>
            <w:tcW w:type="dxa" w:w="5103"/>
            <w:shd w:val="clear" w:fill="1C4076"/>
          </w:tcPr>
          <w:p>
            <w:r/>
            <w:r>
              <w:rPr>
                <w:rFonts w:ascii="Avenir Next LT Pro" w:hAnsi="Avenir Next LT Pro"/>
                <w:b/>
                <w:i w:val="0"/>
                <w:color w:val="FFFFFF"/>
                <w:sz w:val="17"/>
              </w:rPr>
              <w:t>Legal advisor</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Rikke Schiøtt Petersen</w:t>
              <w:br/>
              <w:t>Partner, Gorrissen Federspiel Advokatpartnerselskab</w:t>
            </w:r>
          </w:p>
        </w:tc>
        <w:tc>
          <w:tcPr>
            <w:tcW w:type="dxa" w:w="5103"/>
          </w:tcPr>
          <w:p>
            <w:r/>
            <w:r>
              <w:rPr>
                <w:rFonts w:ascii="Avenir Next LT Pro" w:hAnsi="Avenir Next LT Pro"/>
                <w:b w:val="0"/>
                <w:i w:val="0"/>
                <w:color w:val="1C4076"/>
                <w:sz w:val="17"/>
              </w:rPr>
              <w:t>Tel: +45 33 41 42 71</w:t>
              <w:br/>
              <w:t>Mob: +45 24 25 28 24</w:t>
              <w:br/>
              <w:t>Email: rsp@gorrissenfederspiel.com</w:t>
            </w:r>
          </w:p>
        </w:tc>
      </w:tr>
      <w:tr>
        <w:tc>
          <w:tcPr>
            <w:tcW w:type="dxa" w:w="5103"/>
          </w:tcPr>
          <w:p>
            <w:r/>
            <w:r>
              <w:rPr>
                <w:rFonts w:ascii="Avenir Next LT Pro" w:hAnsi="Avenir Next LT Pro"/>
                <w:b w:val="0"/>
                <w:i w:val="0"/>
                <w:color w:val="1C4076"/>
                <w:sz w:val="17"/>
              </w:rPr>
              <w:t>Michael Meyer</w:t>
              <w:br/>
              <w:t>Partner, Gorrissen Federspiel Advokatpartnerselskab</w:t>
            </w:r>
          </w:p>
        </w:tc>
        <w:tc>
          <w:tcPr>
            <w:tcW w:type="dxa" w:w="5103"/>
          </w:tcPr>
          <w:p>
            <w:r/>
            <w:r>
              <w:rPr>
                <w:rFonts w:ascii="Avenir Next LT Pro" w:hAnsi="Avenir Next LT Pro"/>
                <w:b w:val="0"/>
                <w:i w:val="0"/>
                <w:color w:val="1C4076"/>
                <w:sz w:val="17"/>
              </w:rPr>
              <w:t>Tel: +45 86 20 74 11</w:t>
              <w:br/>
              <w:t>Mob: +45 40 19 91 57</w:t>
              <w:br/>
              <w:t>Email: mm@gorrissenfederspiel.com</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Takeover Response Manual</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