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_f0vwrsj.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120" w:after="80"/>
        <w:ind w:left="708" w:hanging="708"/>
      </w:pPr>
      <w:r>
        <w:rPr>
          <w:rFonts w:ascii="Avenir Next LT Pro" w:hAnsi="Avenir Next LT Pro"/>
          <w:b/>
          <w:i w:val="0"/>
          <w:color w:val="1C4076"/>
          <w:sz w:val="24"/>
        </w:rPr>
        <w:t>1</w:t>
        <w:tab/>
        <w:t>Name and objects</w:t>
      </w:r>
    </w:p>
    <w:p>
      <w:pPr>
        <w:tabs>
          <w:tab w:pos="708" w:val="left"/>
        </w:tabs>
        <w:spacing w:after="200"/>
        <w:ind w:left="708" w:hanging="708"/>
        <w:jc w:val="both"/>
      </w:pPr>
      <w:r>
        <w:rPr>
          <w:rFonts w:ascii="Avenir Next LT Pro" w:hAnsi="Avenir Next LT Pro"/>
          <w:b/>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tabs>
          <w:tab w:pos="708" w:val="left"/>
        </w:tabs>
        <w:spacing w:before="120" w:after="80"/>
        <w:ind w:left="708" w:hanging="708"/>
      </w:pPr>
      <w:r>
        <w:rPr>
          <w:rFonts w:ascii="Avenir Next LT Pro" w:hAnsi="Avenir Next LT Pro"/>
          <w:b/>
          <w:i w:val="0"/>
          <w:color w:val="1C4076"/>
          <w:sz w:val="24"/>
        </w:rPr>
        <w:t>2</w:t>
        <w:tab/>
        <w:t>Share capital and shares</w:t>
      </w:r>
    </w:p>
    <w:p>
      <w:pPr>
        <w:tabs>
          <w:tab w:pos="708" w:val="left"/>
        </w:tabs>
        <w:spacing w:after="200"/>
        <w:ind w:left="708" w:hanging="708"/>
        <w:jc w:val="both"/>
      </w:pPr>
      <w:r>
        <w:rPr>
          <w:rFonts w:ascii="Avenir Next LT Pro" w:hAnsi="Avenir Next LT Pro"/>
          <w:b/>
          <w:i w:val="0"/>
          <w:color w:val="1C4076"/>
          <w:sz w:val="22"/>
        </w:rPr>
        <w:t>2.1</w:t>
        <w:tab/>
      </w:r>
      <w:r>
        <w:rPr>
          <w:rFonts w:ascii="Avenir Next LT Pro" w:hAnsi="Avenir Next LT Pro"/>
          <w:b w:val="0"/>
          <w:i w:val="0"/>
          <w:color w:val="1C4076"/>
          <w:sz w:val="22"/>
        </w:rPr>
        <w:t>The Company’s nominal share capital is DKK 251,157,500 divided into shares of DKK 2.50 each or multiples thereof.</w:t>
      </w:r>
    </w:p>
    <w:p>
      <w:pPr>
        <w:tabs>
          <w:tab w:pos="708" w:val="left"/>
        </w:tabs>
        <w:spacing w:after="200"/>
        <w:ind w:left="708" w:hanging="708"/>
        <w:jc w:val="both"/>
      </w:pPr>
      <w:r>
        <w:rPr>
          <w:rFonts w:ascii="Avenir Next LT Pro" w:hAnsi="Avenir Next LT Pro"/>
          <w:b/>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tabs>
          <w:tab w:pos="708" w:val="left"/>
        </w:tabs>
        <w:spacing w:before="120" w:after="80"/>
        <w:ind w:left="708" w:hanging="708"/>
      </w:pPr>
      <w:r>
        <w:rPr>
          <w:rFonts w:ascii="Avenir Next LT Pro" w:hAnsi="Avenir Next LT Pro"/>
          <w:b/>
          <w:i w:val="0"/>
          <w:color w:val="1C4076"/>
          <w:sz w:val="24"/>
        </w:rPr>
        <w:t>3</w:t>
        <w:tab/>
        <w:t>Authorisations to increase share capital</w:t>
      </w:r>
    </w:p>
    <w:p>
      <w:pPr>
        <w:tabs>
          <w:tab w:pos="708" w:val="left"/>
        </w:tabs>
        <w:spacing w:after="200"/>
        <w:ind w:left="708" w:hanging="708"/>
        <w:jc w:val="both"/>
      </w:pPr>
      <w:r>
        <w:rPr>
          <w:rFonts w:ascii="Avenir Next LT Pro" w:hAnsi="Avenir Next LT Pro"/>
          <w:b/>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tabs>
          <w:tab w:pos="708" w:val="left"/>
        </w:tabs>
        <w:spacing w:before="120" w:after="80"/>
        <w:ind w:left="708" w:hanging="708"/>
      </w:pPr>
      <w:r>
        <w:rPr>
          <w:rFonts w:ascii="Avenir Next LT Pro" w:hAnsi="Avenir Next LT Pro"/>
          <w:b/>
          <w:i w:val="0"/>
          <w:color w:val="1C4076"/>
          <w:sz w:val="24"/>
        </w:rPr>
        <w:t>4</w:t>
        <w:tab/>
        <w:t>Board of Directors</w:t>
      </w:r>
    </w:p>
    <w:p>
      <w:pPr>
        <w:tabs>
          <w:tab w:pos="708" w:val="left"/>
        </w:tabs>
        <w:spacing w:after="200"/>
        <w:ind w:left="708" w:hanging="708"/>
        <w:jc w:val="both"/>
      </w:pPr>
      <w:r>
        <w:rPr>
          <w:rFonts w:ascii="Avenir Next LT Pro" w:hAnsi="Avenir Next LT Pro"/>
          <w:b/>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tabs>
          <w:tab w:pos="708" w:val="left"/>
        </w:tabs>
        <w:spacing w:before="120" w:after="80"/>
        <w:ind w:left="708" w:hanging="708"/>
      </w:pPr>
      <w:r>
        <w:rPr>
          <w:rFonts w:ascii="Avenir Next LT Pro" w:hAnsi="Avenir Next LT Pro"/>
          <w:b/>
          <w:i w:val="0"/>
          <w:color w:val="1C4076"/>
          <w:sz w:val="24"/>
        </w:rPr>
        <w:t>5</w:t>
        <w:tab/>
        <w:t>Executive Management</w:t>
      </w:r>
    </w:p>
    <w:p>
      <w:pPr>
        <w:tabs>
          <w:tab w:pos="708" w:val="left"/>
        </w:tabs>
        <w:spacing w:after="200"/>
        <w:ind w:left="708" w:hanging="708"/>
        <w:jc w:val="both"/>
      </w:pPr>
      <w:r>
        <w:rPr>
          <w:rFonts w:ascii="Avenir Next LT Pro" w:hAnsi="Avenir Next LT Pro"/>
          <w:b/>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tabs>
          <w:tab w:pos="708" w:val="left"/>
        </w:tabs>
        <w:spacing w:before="120" w:after="80"/>
        <w:ind w:left="708" w:hanging="708"/>
      </w:pPr>
      <w:r>
        <w:rPr>
          <w:rFonts w:ascii="Avenir Next LT Pro" w:hAnsi="Avenir Next LT Pro"/>
          <w:b/>
          <w:i w:val="0"/>
          <w:color w:val="1C4076"/>
          <w:sz w:val="24"/>
        </w:rPr>
        <w:t>6</w:t>
        <w:tab/>
        <w:t>Rules of signature</w:t>
      </w:r>
    </w:p>
    <w:p>
      <w:pPr>
        <w:tabs>
          <w:tab w:pos="708" w:val="left"/>
        </w:tabs>
        <w:spacing w:after="200"/>
        <w:ind w:left="708" w:hanging="708"/>
        <w:jc w:val="both"/>
      </w:pPr>
      <w:r>
        <w:rPr>
          <w:rFonts w:ascii="Avenir Next LT Pro" w:hAnsi="Avenir Next LT Pro"/>
          <w:b/>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tabs>
          <w:tab w:pos="708" w:val="left"/>
        </w:tabs>
        <w:spacing w:before="120" w:after="80"/>
        <w:ind w:left="708" w:hanging="708"/>
      </w:pPr>
      <w:r>
        <w:rPr>
          <w:rFonts w:ascii="Avenir Next LT Pro" w:hAnsi="Avenir Next LT Pro"/>
          <w:b/>
          <w:i w:val="0"/>
          <w:color w:val="1C4076"/>
          <w:sz w:val="24"/>
        </w:rPr>
        <w:t>7</w:t>
        <w:tab/>
        <w:t>Corporate language</w:t>
      </w:r>
    </w:p>
    <w:p>
      <w:pPr>
        <w:tabs>
          <w:tab w:pos="708" w:val="left"/>
        </w:tabs>
        <w:spacing w:after="200"/>
        <w:ind w:left="708" w:hanging="708"/>
        <w:jc w:val="both"/>
      </w:pPr>
      <w:r>
        <w:rPr>
          <w:rFonts w:ascii="Avenir Next LT Pro" w:hAnsi="Avenir Next LT Pro"/>
          <w:b/>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tabs>
          <w:tab w:pos="708" w:val="left"/>
        </w:tabs>
        <w:spacing w:before="120" w:after="80"/>
        <w:ind w:left="708" w:hanging="708"/>
      </w:pPr>
      <w:r>
        <w:rPr>
          <w:rFonts w:ascii="Avenir Next LT Pro" w:hAnsi="Avenir Next LT Pro"/>
          <w:b/>
          <w:i w:val="0"/>
          <w:color w:val="1C4076"/>
          <w:sz w:val="24"/>
        </w:rPr>
        <w:t>8</w:t>
        <w:tab/>
        <w:t>Electronic communication</w:t>
      </w:r>
    </w:p>
    <w:p>
      <w:pPr>
        <w:tabs>
          <w:tab w:pos="708" w:val="left"/>
        </w:tabs>
        <w:spacing w:after="200"/>
        <w:ind w:left="708" w:hanging="708"/>
        <w:jc w:val="both"/>
      </w:pPr>
      <w:r>
        <w:rPr>
          <w:rFonts w:ascii="Avenir Next LT Pro" w:hAnsi="Avenir Next LT Pro"/>
          <w:b/>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tabs>
          <w:tab w:pos="708" w:val="left"/>
        </w:tabs>
        <w:spacing w:before="120" w:after="80"/>
        <w:ind w:left="708" w:hanging="708"/>
      </w:pPr>
      <w:r>
        <w:rPr>
          <w:rFonts w:ascii="Avenir Next LT Pro" w:hAnsi="Avenir Next LT Pro"/>
          <w:b/>
          <w:i w:val="0"/>
          <w:color w:val="1C4076"/>
          <w:sz w:val="24"/>
        </w:rPr>
        <w:t>9</w:t>
        <w:tab/>
        <w:t>General meeting, venue and notice</w:t>
      </w:r>
    </w:p>
    <w:p>
      <w:pPr>
        <w:tabs>
          <w:tab w:pos="708" w:val="left"/>
        </w:tabs>
        <w:spacing w:after="200"/>
        <w:ind w:left="708" w:hanging="708"/>
        <w:jc w:val="both"/>
      </w:pPr>
      <w:r>
        <w:rPr>
          <w:rFonts w:ascii="Avenir Next LT Pro" w:hAnsi="Avenir Next LT Pro"/>
          <w:b/>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tabs>
          <w:tab w:pos="708" w:val="left"/>
        </w:tabs>
        <w:spacing w:after="80"/>
        <w:ind w:left="708" w:hanging="708"/>
      </w:pPr>
      <w:r>
        <w:rPr>
          <w:rFonts w:ascii="Avenir Next LT Pro" w:hAnsi="Avenir Next LT Pro"/>
          <w:b w:val="0"/>
          <w:i w:val="0"/>
          <w:color w:val="1C4076"/>
          <w:sz w:val="22"/>
        </w:rPr>
        <w:t>a.</w:t>
        <w:tab/>
        <w:t>The notice convening the general meeting</w:t>
      </w:r>
    </w:p>
    <w:p>
      <w:pPr>
        <w:tabs>
          <w:tab w:pos="708" w:val="left"/>
        </w:tabs>
        <w:spacing w:after="80"/>
        <w:ind w:left="708" w:hanging="708"/>
      </w:pPr>
      <w:r>
        <w:rPr>
          <w:rFonts w:ascii="Avenir Next LT Pro" w:hAnsi="Avenir Next LT Pro"/>
          <w:b w:val="0"/>
          <w:i w:val="0"/>
          <w:color w:val="1C4076"/>
          <w:sz w:val="22"/>
        </w:rPr>
        <w:t>b.</w:t>
        <w:tab/>
        <w:t>The aggregate number of shares and voting rights as at the date of the notice</w:t>
      </w:r>
    </w:p>
    <w:p>
      <w:pPr>
        <w:tabs>
          <w:tab w:pos="708" w:val="left"/>
        </w:tabs>
        <w:spacing w:after="80"/>
        <w:ind w:left="708" w:hanging="708"/>
      </w:pPr>
      <w:r>
        <w:rPr>
          <w:rFonts w:ascii="Avenir Next LT Pro" w:hAnsi="Avenir Next LT Pro"/>
          <w:b w:val="0"/>
          <w:i w:val="0"/>
          <w:color w:val="1C4076"/>
          <w:sz w:val="22"/>
        </w:rPr>
        <w:t>c.</w:t>
        <w:tab/>
        <w:t>The documents to be presented at the general meeting</w:t>
      </w:r>
    </w:p>
    <w:p>
      <w:pPr>
        <w:tabs>
          <w:tab w:pos="708" w:val="left"/>
        </w:tabs>
        <w:spacing w:after="80"/>
        <w:ind w:left="708" w:hanging="708"/>
      </w:pPr>
      <w:r>
        <w:rPr>
          <w:rFonts w:ascii="Avenir Next LT Pro" w:hAnsi="Avenir Next LT Pro"/>
          <w:b w:val="0"/>
          <w:i w:val="0"/>
          <w:color w:val="1C4076"/>
          <w:sz w:val="22"/>
        </w:rPr>
        <w:t>d.</w:t>
        <w:tab/>
        <w:t>The agenda and the complete proposals as well as, for annual general meetings, the audited annual report</w:t>
      </w:r>
    </w:p>
    <w:p>
      <w:pPr>
        <w:tabs>
          <w:tab w:pos="708" w:val="left"/>
        </w:tabs>
        <w:spacing w:after="80"/>
        <w:ind w:left="708" w:hanging="708"/>
      </w:pPr>
      <w:r>
        <w:rPr>
          <w:rFonts w:ascii="Avenir Next LT Pro" w:hAnsi="Avenir Next LT Pro"/>
          <w:b w:val="0"/>
          <w:i w:val="0"/>
          <w:color w:val="1C4076"/>
          <w:sz w:val="22"/>
        </w:rPr>
        <w:t>e.</w:t>
        <w:tab/>
        <w:t>The forms to be used for voting by proxy or by postal vote</w:t>
      </w:r>
    </w:p>
    <w:p>
      <w:pPr>
        <w:tabs>
          <w:tab w:pos="708" w:val="left"/>
        </w:tabs>
        <w:spacing w:after="200"/>
        <w:ind w:left="708" w:hanging="708"/>
        <w:jc w:val="both"/>
      </w:pPr>
      <w:r>
        <w:rPr>
          <w:rFonts w:ascii="Avenir Next LT Pro" w:hAnsi="Avenir Next LT Pro"/>
          <w:b/>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tabs>
          <w:tab w:pos="708" w:val="left"/>
        </w:tabs>
        <w:spacing w:before="120" w:after="80"/>
        <w:ind w:left="708" w:hanging="708"/>
      </w:pPr>
      <w:r>
        <w:rPr>
          <w:rFonts w:ascii="Avenir Next LT Pro" w:hAnsi="Avenir Next LT Pro"/>
          <w:b/>
          <w:i w:val="0"/>
          <w:color w:val="1C4076"/>
          <w:sz w:val="24"/>
        </w:rPr>
        <w:t>10</w:t>
        <w:tab/>
        <w:t>Agenda for the annual general meeting</w:t>
      </w:r>
    </w:p>
    <w:p>
      <w:pPr>
        <w:tabs>
          <w:tab w:pos="708" w:val="left"/>
        </w:tabs>
        <w:spacing w:after="200"/>
        <w:ind w:left="708" w:hanging="708"/>
        <w:jc w:val="both"/>
      </w:pPr>
      <w:r>
        <w:rPr>
          <w:rFonts w:ascii="Avenir Next LT Pro" w:hAnsi="Avenir Next LT Pro"/>
          <w:b/>
          <w:i w:val="0"/>
          <w:color w:val="1C4076"/>
          <w:sz w:val="22"/>
        </w:rPr>
        <w:t>10.1</w:t>
        <w:tab/>
      </w:r>
      <w:r>
        <w:rPr>
          <w:rFonts w:ascii="Avenir Next LT Pro" w:hAnsi="Avenir Next LT Pro"/>
          <w:b w:val="0"/>
          <w:i w:val="0"/>
          <w:color w:val="1C4076"/>
          <w:sz w:val="22"/>
        </w:rPr>
        <w:t>The agenda for the annual general meeting shall include the following:</w:t>
      </w:r>
    </w:p>
    <w:p>
      <w:pPr>
        <w:tabs>
          <w:tab w:pos="708" w:val="left"/>
        </w:tabs>
        <w:spacing w:after="80"/>
        <w:ind w:left="708" w:hanging="708"/>
      </w:pPr>
      <w:r>
        <w:rPr>
          <w:rFonts w:ascii="Avenir Next LT Pro" w:hAnsi="Avenir Next LT Pro"/>
          <w:b w:val="0"/>
          <w:i w:val="0"/>
          <w:color w:val="1C4076"/>
          <w:sz w:val="22"/>
        </w:rPr>
        <w:t>a.</w:t>
        <w:tab/>
        <w:t>The Board of Directors’ report on the Company’s activities in the past financial year</w:t>
      </w:r>
    </w:p>
    <w:p>
      <w:pPr>
        <w:tabs>
          <w:tab w:pos="708" w:val="left"/>
        </w:tabs>
        <w:spacing w:after="80"/>
        <w:ind w:left="708" w:hanging="708"/>
      </w:pPr>
      <w:r>
        <w:rPr>
          <w:rFonts w:ascii="Avenir Next LT Pro" w:hAnsi="Avenir Next LT Pro"/>
          <w:b w:val="0"/>
          <w:i w:val="0"/>
          <w:color w:val="1C4076"/>
          <w:sz w:val="22"/>
        </w:rPr>
        <w:t>b.</w:t>
        <w:tab/>
        <w:t>Presentation and adoption of the audited annual report</w:t>
      </w:r>
    </w:p>
    <w:p>
      <w:pPr>
        <w:tabs>
          <w:tab w:pos="708" w:val="left"/>
        </w:tabs>
        <w:spacing w:after="80"/>
        <w:ind w:left="708" w:hanging="708"/>
      </w:pPr>
      <w:r>
        <w:rPr>
          <w:rFonts w:ascii="Avenir Next LT Pro" w:hAnsi="Avenir Next LT Pro"/>
          <w:b w:val="0"/>
          <w:i w:val="0"/>
          <w:color w:val="1C4076"/>
          <w:sz w:val="22"/>
        </w:rPr>
        <w:t>c.</w:t>
        <w:tab/>
        <w:t>Distribution of profit or covering of loss according to the adopted annual report</w:t>
      </w:r>
    </w:p>
    <w:p>
      <w:pPr>
        <w:tabs>
          <w:tab w:pos="708" w:val="left"/>
        </w:tabs>
        <w:spacing w:after="80"/>
        <w:ind w:left="708" w:hanging="708"/>
      </w:pPr>
      <w:r>
        <w:rPr>
          <w:rFonts w:ascii="Avenir Next LT Pro" w:hAnsi="Avenir Next LT Pro"/>
          <w:b w:val="0"/>
          <w:i w:val="0"/>
          <w:color w:val="1C4076"/>
          <w:sz w:val="22"/>
        </w:rPr>
        <w:t>d.</w:t>
        <w:tab/>
        <w:t>Resolution to grant discharge of liability to the Board of Directors and the Executive Management</w:t>
      </w:r>
    </w:p>
    <w:p>
      <w:pPr>
        <w:tabs>
          <w:tab w:pos="708" w:val="left"/>
        </w:tabs>
        <w:spacing w:after="80"/>
        <w:ind w:left="708" w:hanging="708"/>
      </w:pPr>
      <w:r>
        <w:rPr>
          <w:rFonts w:ascii="Avenir Next LT Pro" w:hAnsi="Avenir Next LT Pro"/>
          <w:b w:val="0"/>
          <w:i w:val="0"/>
          <w:color w:val="1C4076"/>
          <w:sz w:val="22"/>
        </w:rPr>
        <w:t>e.</w:t>
        <w:tab/>
        <w:t>Presentation of the Company’s remuneration report for an advisory vote</w:t>
      </w:r>
    </w:p>
    <w:p>
      <w:pPr>
        <w:tabs>
          <w:tab w:pos="708" w:val="left"/>
        </w:tabs>
        <w:spacing w:after="80"/>
        <w:ind w:left="708" w:hanging="708"/>
      </w:pPr>
      <w:r>
        <w:rPr>
          <w:rFonts w:ascii="Avenir Next LT Pro" w:hAnsi="Avenir Next LT Pro"/>
          <w:b w:val="0"/>
          <w:i w:val="0"/>
          <w:color w:val="1C4076"/>
          <w:sz w:val="22"/>
        </w:rPr>
        <w:t>f.</w:t>
        <w:tab/>
        <w:t>Approval of remuneration to the Board of Directors for the current financial year</w:t>
      </w:r>
    </w:p>
    <w:p>
      <w:pPr>
        <w:tabs>
          <w:tab w:pos="708" w:val="left"/>
        </w:tabs>
        <w:spacing w:after="80"/>
        <w:ind w:left="708" w:hanging="708"/>
      </w:pPr>
      <w:r>
        <w:rPr>
          <w:rFonts w:ascii="Avenir Next LT Pro" w:hAnsi="Avenir Next LT Pro"/>
          <w:b w:val="0"/>
          <w:i w:val="0"/>
          <w:color w:val="1C4076"/>
          <w:sz w:val="22"/>
        </w:rPr>
        <w:t>g.</w:t>
        <w:tab/>
        <w:t>Election of members to the Board of Directors</w:t>
      </w:r>
    </w:p>
    <w:p>
      <w:pPr>
        <w:tabs>
          <w:tab w:pos="708" w:val="left"/>
        </w:tabs>
        <w:spacing w:after="80"/>
        <w:ind w:left="708" w:hanging="708"/>
      </w:pPr>
      <w:r>
        <w:rPr>
          <w:rFonts w:ascii="Avenir Next LT Pro" w:hAnsi="Avenir Next LT Pro"/>
          <w:b w:val="0"/>
          <w:i w:val="0"/>
          <w:color w:val="1C4076"/>
          <w:sz w:val="22"/>
        </w:rPr>
        <w:t>h.</w:t>
        <w:tab/>
        <w:t>Election of auditor</w:t>
      </w:r>
    </w:p>
    <w:p>
      <w:pPr>
        <w:tabs>
          <w:tab w:pos="708" w:val="left"/>
        </w:tabs>
        <w:spacing w:after="80"/>
        <w:ind w:left="708" w:hanging="708"/>
      </w:pPr>
      <w:r>
        <w:rPr>
          <w:rFonts w:ascii="Avenir Next LT Pro" w:hAnsi="Avenir Next LT Pro"/>
          <w:b w:val="0"/>
          <w:i w:val="0"/>
          <w:color w:val="1C4076"/>
          <w:sz w:val="22"/>
        </w:rPr>
        <w:t>i.</w:t>
        <w:tab/>
        <w:t>Authorisation to acquire treasury shares, if relevant</w:t>
      </w:r>
    </w:p>
    <w:p>
      <w:pPr>
        <w:tabs>
          <w:tab w:pos="708" w:val="left"/>
        </w:tabs>
        <w:spacing w:after="80"/>
        <w:ind w:left="708" w:hanging="708"/>
      </w:pPr>
      <w:r>
        <w:rPr>
          <w:rFonts w:ascii="Avenir Next LT Pro" w:hAnsi="Avenir Next LT Pro"/>
          <w:b w:val="0"/>
          <w:i w:val="0"/>
          <w:color w:val="1C4076"/>
          <w:sz w:val="22"/>
        </w:rPr>
        <w:t>j.</w:t>
        <w:tab/>
        <w:t>Any proposals from the Board of Directors or shareholders</w:t>
      </w:r>
    </w:p>
    <w:p>
      <w:pPr>
        <w:tabs>
          <w:tab w:pos="708" w:val="left"/>
        </w:tabs>
        <w:spacing w:after="80"/>
        <w:ind w:left="708" w:hanging="708"/>
      </w:pPr>
      <w:r>
        <w:rPr>
          <w:rFonts w:ascii="Avenir Next LT Pro" w:hAnsi="Avenir Next LT Pro"/>
          <w:b w:val="0"/>
          <w:i w:val="0"/>
          <w:color w:val="1C4076"/>
          <w:sz w:val="22"/>
        </w:rPr>
        <w:t>k.</w:t>
        <w:tab/>
        <w:t>Any other business</w:t>
      </w:r>
    </w:p>
    <w:p>
      <w:pPr>
        <w:tabs>
          <w:tab w:pos="708" w:val="left"/>
        </w:tabs>
        <w:spacing w:after="200"/>
        <w:ind w:left="708" w:hanging="708"/>
        <w:jc w:val="both"/>
      </w:pPr>
      <w:r>
        <w:rPr>
          <w:rFonts w:ascii="Avenir Next LT Pro" w:hAnsi="Avenir Next LT Pro"/>
          <w:b/>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tabs>
          <w:tab w:pos="708" w:val="left"/>
        </w:tabs>
        <w:spacing w:before="120" w:after="80"/>
        <w:ind w:left="708" w:hanging="708"/>
      </w:pPr>
      <w:r>
        <w:rPr>
          <w:rFonts w:ascii="Avenir Next LT Pro" w:hAnsi="Avenir Next LT Pro"/>
          <w:b/>
          <w:i w:val="0"/>
          <w:color w:val="1C4076"/>
          <w:sz w:val="24"/>
        </w:rPr>
        <w:t>11</w:t>
        <w:tab/>
        <w:t>Shareholders’ attendance and voting rights at the general meeting</w:t>
      </w:r>
    </w:p>
    <w:p>
      <w:pPr>
        <w:tabs>
          <w:tab w:pos="708" w:val="left"/>
        </w:tabs>
        <w:spacing w:after="200"/>
        <w:ind w:left="708" w:hanging="708"/>
        <w:jc w:val="both"/>
      </w:pPr>
      <w:r>
        <w:rPr>
          <w:rFonts w:ascii="Avenir Next LT Pro" w:hAnsi="Avenir Next LT Pro"/>
          <w:b/>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tabs>
          <w:tab w:pos="708" w:val="left"/>
        </w:tabs>
        <w:spacing w:after="200"/>
        <w:ind w:left="708" w:hanging="708"/>
        <w:jc w:val="both"/>
      </w:pPr>
      <w:r>
        <w:rPr>
          <w:rFonts w:ascii="Avenir Next LT Pro" w:hAnsi="Avenir Next LT Pro"/>
          <w:b/>
          <w:i w:val="0"/>
          <w:color w:val="1C4076"/>
          <w:sz w:val="22"/>
        </w:rPr>
        <w:t>11.4</w:t>
        <w:tab/>
      </w:r>
      <w:r>
        <w:rPr>
          <w:rFonts w:ascii="Avenir Next LT Pro" w:hAnsi="Avenir Next LT Pro"/>
          <w:b w:val="0"/>
          <w:i w:val="0"/>
          <w:color w:val="1C4076"/>
          <w:sz w:val="22"/>
        </w:rPr>
        <w:t>The right to vote may be exercised by a written and dated instrument of proxy in accordance with applicable law.</w:t>
      </w:r>
    </w:p>
    <w:p>
      <w:pPr>
        <w:tabs>
          <w:tab w:pos="708" w:val="left"/>
        </w:tabs>
        <w:spacing w:after="200"/>
        <w:ind w:left="708" w:hanging="708"/>
        <w:jc w:val="both"/>
      </w:pPr>
      <w:r>
        <w:rPr>
          <w:rFonts w:ascii="Avenir Next LT Pro" w:hAnsi="Avenir Next LT Pro"/>
          <w:b/>
          <w:i w:val="0"/>
          <w:color w:val="1C4076"/>
          <w:sz w:val="22"/>
        </w:rPr>
        <w:t>11.5</w:t>
        <w:tab/>
      </w:r>
      <w:r>
        <w:rPr>
          <w:rFonts w:ascii="Avenir Next LT Pro" w:hAnsi="Avenir Next LT Pro"/>
          <w:b w:val="0"/>
          <w:i w:val="0"/>
          <w:color w:val="1C4076"/>
          <w:sz w:val="22"/>
        </w:rPr>
        <w:t>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tabs>
          <w:tab w:pos="708" w:val="left"/>
        </w:tabs>
        <w:spacing w:after="200"/>
        <w:ind w:left="708" w:hanging="708"/>
        <w:jc w:val="both"/>
      </w:pPr>
      <w:r>
        <w:rPr>
          <w:rFonts w:ascii="Avenir Next LT Pro" w:hAnsi="Avenir Next LT Pro"/>
          <w:b/>
          <w:i w:val="0"/>
          <w:color w:val="1C4076"/>
          <w:sz w:val="22"/>
        </w:rPr>
        <w:t>11.6</w:t>
        <w:tab/>
      </w:r>
      <w:r>
        <w:rPr>
          <w:rFonts w:ascii="Avenir Next LT Pro" w:hAnsi="Avenir Next LT Pro"/>
          <w:b w:val="0"/>
          <w:i w:val="0"/>
          <w:color w:val="1C4076"/>
          <w:sz w:val="22"/>
        </w:rPr>
        <w:t>Each share of the nominal value of DKK 2.50 shall carry one vote.</w:t>
      </w:r>
    </w:p>
    <w:p>
      <w:pPr>
        <w:keepNext/>
        <w:tabs>
          <w:tab w:pos="708" w:val="left"/>
        </w:tabs>
        <w:spacing w:before="120" w:after="80"/>
        <w:ind w:left="708" w:hanging="708"/>
      </w:pPr>
      <w:r>
        <w:rPr>
          <w:rFonts w:ascii="Avenir Next LT Pro" w:hAnsi="Avenir Next LT Pro"/>
          <w:b/>
          <w:i w:val="0"/>
          <w:color w:val="1C4076"/>
          <w:sz w:val="24"/>
        </w:rPr>
        <w:t>12</w:t>
        <w:tab/>
        <w:t>Resolutions at general meetings</w:t>
      </w:r>
    </w:p>
    <w:p>
      <w:pPr>
        <w:tabs>
          <w:tab w:pos="708" w:val="left"/>
        </w:tabs>
        <w:spacing w:after="200"/>
        <w:ind w:left="708" w:hanging="708"/>
        <w:jc w:val="both"/>
      </w:pPr>
      <w:r>
        <w:rPr>
          <w:rFonts w:ascii="Avenir Next LT Pro" w:hAnsi="Avenir Next LT Pro"/>
          <w:b/>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tabs>
          <w:tab w:pos="708" w:val="left"/>
        </w:tabs>
        <w:spacing w:before="120" w:after="80"/>
        <w:ind w:left="708" w:hanging="708"/>
      </w:pPr>
      <w:r>
        <w:rPr>
          <w:rFonts w:ascii="Avenir Next LT Pro" w:hAnsi="Avenir Next LT Pro"/>
          <w:b/>
          <w:i w:val="0"/>
          <w:color w:val="1C4076"/>
          <w:sz w:val="24"/>
        </w:rPr>
        <w:t>13</w:t>
        <w:tab/>
        <w:t>Indemnification scheme</w:t>
      </w:r>
    </w:p>
    <w:p>
      <w:pPr>
        <w:tabs>
          <w:tab w:pos="708" w:val="left"/>
        </w:tabs>
        <w:spacing w:after="200"/>
        <w:ind w:left="708" w:hanging="708"/>
        <w:jc w:val="both"/>
      </w:pPr>
      <w:r>
        <w:rPr>
          <w:rFonts w:ascii="Avenir Next LT Pro" w:hAnsi="Avenir Next LT Pro"/>
          <w:b/>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tabs>
          <w:tab w:pos="708" w:val="left"/>
        </w:tabs>
        <w:spacing w:before="120" w:after="80"/>
        <w:ind w:left="708" w:hanging="708"/>
      </w:pPr>
      <w:r>
        <w:rPr>
          <w:rFonts w:ascii="Avenir Next LT Pro" w:hAnsi="Avenir Next LT Pro"/>
          <w:b/>
          <w:i w:val="0"/>
          <w:color w:val="1C4076"/>
          <w:sz w:val="24"/>
        </w:rPr>
        <w:t>14</w:t>
        <w:tab/>
        <w:t>Annual report and audit</w:t>
      </w:r>
    </w:p>
    <w:p>
      <w:pPr>
        <w:tabs>
          <w:tab w:pos="708" w:val="left"/>
        </w:tabs>
        <w:spacing w:after="200"/>
        <w:ind w:left="708" w:hanging="708"/>
        <w:jc w:val="both"/>
      </w:pPr>
      <w:r>
        <w:rPr>
          <w:rFonts w:ascii="Avenir Next LT Pro" w:hAnsi="Avenir Next LT Pro"/>
          <w:b/>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tabs>
          <w:tab w:pos="708" w:val="left"/>
        </w:tabs>
        <w:spacing w:before="120" w:after="80"/>
        <w:ind w:left="708" w:hanging="708"/>
      </w:pPr>
      <w:r>
        <w:rPr>
          <w:rFonts w:ascii="Avenir Next LT Pro" w:hAnsi="Avenir Next LT Pro"/>
          <w:b/>
          <w:i w:val="0"/>
          <w:color w:val="1C4076"/>
          <w:sz w:val="24"/>
        </w:rPr>
        <w:t>15</w:t>
        <w:tab/>
        <w:t>Financial year</w:t>
      </w:r>
    </w:p>
    <w:p>
      <w:pPr>
        <w:tabs>
          <w:tab w:pos="708" w:val="left"/>
        </w:tabs>
        <w:spacing w:after="200"/>
        <w:ind w:left="708" w:hanging="708"/>
        <w:jc w:val="both"/>
      </w:pPr>
      <w:r>
        <w:rPr>
          <w:rFonts w:ascii="Avenir Next LT Pro" w:hAnsi="Avenir Next LT Pro"/>
          <w:b/>
          <w:i w:val="0"/>
          <w:color w:val="1C4076"/>
          <w:sz w:val="22"/>
        </w:rPr>
        <w:t>15.1</w:t>
        <w:tab/>
      </w:r>
      <w:r>
        <w:rPr>
          <w:rFonts w:ascii="Avenir Next LT Pro" w:hAnsi="Avenir Next LT Pro"/>
          <w:b w:val="0"/>
          <w:i w:val="0"/>
          <w:color w:val="1C4076"/>
          <w:sz w:val="22"/>
        </w:rPr>
        <w:t>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