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enkc9na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i w:val="0"/>
          <w:color w:val="1C4076"/>
          <w:sz w:val="22"/>
        </w:rPr>
        <w:t>The objective of this Sanctions and Export Controls policy (the “</w:t>
      </w:r>
      <w:r>
        <w:rPr>
          <w:rFonts w:ascii="Avenir Next LT Pro" w:hAnsi="Avenir Next LT Pro"/>
          <w:b/>
          <w:i w:val="0"/>
          <w:color w:val="1C4076"/>
          <w:sz w:val="22"/>
        </w:rPr>
        <w:t>Policy</w:t>
      </w:r>
      <w:r>
        <w:rPr>
          <w:rFonts w:ascii="Avenir Next LT Pro" w:hAnsi="Avenir Next LT Pro"/>
          <w:b w:val="0"/>
          <w:i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i w:val="0"/>
          <w:color w:val="1C4076"/>
          <w:sz w:val="22"/>
        </w:rPr>
        <w:t>BioMar</w:t>
      </w:r>
      <w:r>
        <w:rPr>
          <w:rFonts w:ascii="Avenir Next LT Pro" w:hAnsi="Avenir Next LT Pro"/>
          <w:b w:val="0"/>
          <w:i w:val="0"/>
          <w:color w:val="1C4076"/>
          <w:sz w:val="22"/>
        </w:rPr>
        <w:t>” or “</w:t>
      </w:r>
      <w:r>
        <w:rPr>
          <w:rFonts w:ascii="Avenir Next LT Pro" w:hAnsi="Avenir Next LT Pro"/>
          <w:b/>
          <w:i w:val="0"/>
          <w:color w:val="1C4076"/>
          <w:sz w:val="22"/>
        </w:rPr>
        <w:t>Group</w:t>
      </w:r>
      <w:r>
        <w:rPr>
          <w:rFonts w:ascii="Avenir Next LT Pro" w:hAnsi="Avenir Next LT Pro"/>
          <w:b w:val="0"/>
          <w:i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i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i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i w:val="0"/>
          <w:color w:val="1C4076"/>
          <w:sz w:val="28"/>
        </w:rPr>
        <w:t>Who must comply with this Policy?</w:t>
      </w:r>
    </w:p>
    <w:p>
      <w:pPr>
        <w:spacing w:after="200"/>
        <w:jc w:val="both"/>
      </w:pPr>
      <w:r>
        <w:rPr>
          <w:rFonts w:ascii="Avenir Next LT Pro" w:hAnsi="Avenir Next LT Pro"/>
          <w:b w:val="0"/>
          <w:i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i w:val="0"/>
          <w:color w:val="1C4076"/>
          <w:sz w:val="22"/>
        </w:rPr>
        <w:t>Representatives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i w:val="0"/>
          <w:color w:val="1C4076"/>
          <w:sz w:val="28"/>
        </w:rPr>
        <w:t>What are Sanctions and Export Control Rules?</w:t>
      </w:r>
    </w:p>
    <w:p>
      <w:pPr>
        <w:keepNext/>
        <w:spacing w:before="120" w:after="80"/>
      </w:pPr>
      <w:r>
        <w:rPr>
          <w:rFonts w:ascii="Avenir Next LT Pro" w:hAnsi="Avenir Next LT Pro"/>
          <w:b/>
          <w:i w:val="0"/>
          <w:color w:val="1C4076"/>
          <w:sz w:val="24"/>
        </w:rPr>
        <w:t>Sanctions</w:t>
      </w:r>
    </w:p>
    <w:p>
      <w:pPr>
        <w:spacing w:after="200"/>
        <w:jc w:val="both"/>
      </w:pPr>
      <w:r>
        <w:rPr>
          <w:rFonts w:ascii="Avenir Next LT Pro" w:hAnsi="Avenir Next LT Pro"/>
          <w:b w:val="0"/>
          <w:i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i w:val="0"/>
          <w:color w:val="1C4076"/>
          <w:sz w:val="22"/>
        </w:rPr>
        <w:t>Sanctions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i w:val="0"/>
          <w:color w:val="1C4076"/>
          <w:sz w:val="22"/>
        </w:rPr>
        <w:t>Sanctions may include:</w:t>
      </w:r>
    </w:p>
    <w:p>
      <w:pPr>
        <w:pStyle w:val="ListBullet"/>
        <w:spacing w:after="80"/>
      </w:pPr>
      <w:r>
        <w:rPr>
          <w:rFonts w:ascii="Avenir Next LT Pro" w:hAnsi="Avenir Next LT Pro"/>
          <w:b w:val="0"/>
          <w:i w:val="0"/>
          <w:color w:val="1C4076"/>
          <w:sz w:val="22"/>
        </w:rPr>
        <w:t>export bans, import bans, and prohibitions on the provision of certain specified services;</w:t>
      </w:r>
    </w:p>
    <w:p>
      <w:pPr>
        <w:pStyle w:val="ListBullet"/>
        <w:spacing w:after="80"/>
      </w:pPr>
      <w:r>
        <w:rPr>
          <w:rFonts w:ascii="Avenir Next LT Pro" w:hAnsi="Avenir Next LT Pro"/>
          <w:b w:val="0"/>
          <w:i w:val="0"/>
          <w:color w:val="1C4076"/>
          <w:sz w:val="22"/>
        </w:rPr>
        <w:t>prohibitions on certain commercial activities (such as joint ventures and other investments);</w:t>
      </w:r>
    </w:p>
    <w:p>
      <w:pPr>
        <w:pStyle w:val="ListBullet"/>
        <w:spacing w:after="80"/>
      </w:pPr>
      <w:r>
        <w:rPr>
          <w:rFonts w:ascii="Avenir Next LT Pro" w:hAnsi="Avenir Next LT Pro"/>
          <w:b w:val="0"/>
          <w:i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i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i w:val="0"/>
          <w:color w:val="1C4076"/>
          <w:sz w:val="22"/>
        </w:rPr>
        <w:t>visa and travel bans; and</w:t>
      </w:r>
    </w:p>
    <w:p>
      <w:pPr>
        <w:pStyle w:val="ListBullet"/>
        <w:spacing w:after="80"/>
      </w:pPr>
      <w:r>
        <w:rPr>
          <w:rFonts w:ascii="Avenir Next LT Pro" w:hAnsi="Avenir Next LT Pro"/>
          <w:b w:val="0"/>
          <w:i w:val="0"/>
          <w:color w:val="1C4076"/>
          <w:sz w:val="22"/>
        </w:rPr>
        <w:t>other financial restrictions.</w:t>
      </w:r>
    </w:p>
    <w:p>
      <w:pPr>
        <w:spacing w:after="200"/>
        <w:jc w:val="both"/>
      </w:pPr>
      <w:r>
        <w:rPr>
          <w:rFonts w:ascii="Avenir Next LT Pro" w:hAnsi="Avenir Next LT Pro"/>
          <w:b w:val="0"/>
          <w:i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i w:val="0"/>
          <w:color w:val="1C4076"/>
          <w:sz w:val="22"/>
        </w:rPr>
        <w:t>https://www.sanctionsmap.eu/#/main</w:t>
      </w:r>
    </w:p>
    <w:p>
      <w:pPr>
        <w:pStyle w:val="ListBullet"/>
        <w:spacing w:after="80"/>
      </w:pPr>
      <w:r>
        <w:rPr>
          <w:rFonts w:ascii="Avenir Next LT Pro" w:hAnsi="Avenir Next LT Pro"/>
          <w:b w:val="0"/>
          <w:i w:val="0"/>
          <w:color w:val="1C4076"/>
          <w:sz w:val="22"/>
        </w:rPr>
        <w:t>https://ofac.treasury.gov/sanctions-programs-and-country-information</w:t>
      </w:r>
    </w:p>
    <w:p>
      <w:pPr>
        <w:keepNext/>
        <w:spacing w:before="120" w:after="80"/>
      </w:pPr>
      <w:r>
        <w:rPr>
          <w:rFonts w:ascii="Avenir Next LT Pro" w:hAnsi="Avenir Next LT Pro"/>
          <w:b/>
          <w:i w:val="0"/>
          <w:color w:val="1C4076"/>
          <w:sz w:val="24"/>
        </w:rPr>
        <w:t>Export Control Rules</w:t>
      </w:r>
    </w:p>
    <w:p>
      <w:pPr>
        <w:spacing w:after="200"/>
        <w:jc w:val="both"/>
      </w:pPr>
      <w:r>
        <w:rPr>
          <w:rFonts w:ascii="Avenir Next LT Pro" w:hAnsi="Avenir Next LT Pro"/>
          <w:b w:val="0"/>
          <w:i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i w:val="0"/>
          <w:color w:val="1C4076"/>
          <w:sz w:val="22"/>
        </w:rPr>
        <w:t>Export Control Rules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i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i w:val="0"/>
          <w:color w:val="1C4076"/>
          <w:sz w:val="28"/>
        </w:rPr>
        <w:t>Conduct of business</w:t>
      </w:r>
    </w:p>
    <w:p>
      <w:pPr>
        <w:spacing w:after="200"/>
        <w:jc w:val="both"/>
      </w:pPr>
      <w:r>
        <w:rPr>
          <w:rFonts w:ascii="Avenir Next LT Pro" w:hAnsi="Avenir Next LT Pro"/>
          <w:b w:val="0"/>
          <w:i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i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i w:val="0"/>
          <w:color w:val="1C4076"/>
          <w:sz w:val="22"/>
        </w:rPr>
        <w:t>High-Risk Sanctioned Countries</w:t>
      </w:r>
      <w:r>
        <w:rPr>
          <w:rFonts w:ascii="Avenir Next LT Pro" w:hAnsi="Avenir Next LT Pro"/>
          <w:b w:val="0"/>
          <w:i w:val="0"/>
          <w:color w:val="1C4076"/>
          <w:sz w:val="22"/>
        </w:rPr>
        <w:t>”), without prior written approval of the Compliance Committee.</w:t>
      </w:r>
    </w:p>
    <w:p>
      <w:pPr>
        <w:spacing w:after="200"/>
        <w:jc w:val="both"/>
      </w:pPr>
      <w:r>
        <w:rPr>
          <w:rFonts w:ascii="Avenir Next LT Pro" w:hAnsi="Avenir Next LT Pro"/>
          <w:b w:val="0"/>
          <w:i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i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i w:val="0"/>
          <w:color w:val="1C4076"/>
          <w:sz w:val="22"/>
        </w:rPr>
        <w:t>BioMar has adopted a zero-engagement approach in relation to Russia.</w:t>
      </w:r>
    </w:p>
    <w:p>
      <w:pPr>
        <w:spacing w:after="200"/>
        <w:jc w:val="both"/>
      </w:pPr>
      <w:r>
        <w:rPr>
          <w:rFonts w:ascii="Avenir Next LT Pro" w:hAnsi="Avenir Next LT Pro"/>
          <w:b w:val="0"/>
          <w:i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i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i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i w:val="0"/>
          <w:color w:val="1C4076"/>
          <w:sz w:val="28"/>
        </w:rPr>
        <w:t>Non-compliance</w:t>
      </w:r>
    </w:p>
    <w:p>
      <w:pPr>
        <w:spacing w:after="200"/>
        <w:jc w:val="both"/>
      </w:pPr>
      <w:r>
        <w:rPr>
          <w:rFonts w:ascii="Avenir Next LT Pro" w:hAnsi="Avenir Next LT Pro"/>
          <w:b w:val="0"/>
          <w:i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i w:val="0"/>
          <w:color w:val="1C4076"/>
          <w:sz w:val="28"/>
        </w:rPr>
        <w:t>Policy Implementation and Training</w:t>
      </w:r>
    </w:p>
    <w:p>
      <w:pPr>
        <w:spacing w:after="200"/>
        <w:jc w:val="both"/>
      </w:pPr>
      <w:r>
        <w:rPr>
          <w:rFonts w:ascii="Avenir Next LT Pro" w:hAnsi="Avenir Next LT Pro"/>
          <w:b w:val="0"/>
          <w:i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i w:val="0"/>
          <w:color w:val="1C4076"/>
          <w:sz w:val="22"/>
        </w:rPr>
        <w:t>Compliance Programme</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i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i w:val="0"/>
          <w:color w:val="1C4076"/>
          <w:sz w:val="28"/>
        </w:rPr>
        <w:t>Policy Review</w:t>
      </w:r>
    </w:p>
    <w:p>
      <w:pPr>
        <w:spacing w:after="200"/>
        <w:jc w:val="both"/>
      </w:pPr>
      <w:r>
        <w:rPr>
          <w:rFonts w:ascii="Avenir Next LT Pro" w:hAnsi="Avenir Next LT Pro"/>
          <w:b w:val="0"/>
          <w:i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i w:val="0"/>
          <w:color w:val="1C4076"/>
          <w:sz w:val="22"/>
        </w:rPr>
        <w:t>The Board of Directors of BioMar shall annually review, and if relevant update, this Policy.</w:t>
      </w:r>
    </w:p>
    <w:p>
      <w:pPr>
        <w:spacing w:after="200"/>
        <w:jc w:val="both"/>
      </w:pPr>
      <w:r>
        <w:rPr>
          <w:rFonts w:ascii="Avenir Next LT Pro" w:hAnsi="Avenir Next LT Pro"/>
          <w:b w:val="0"/>
          <w:i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i w:val="0"/>
          <w:color w:val="1C4076"/>
          <w:sz w:val="28"/>
        </w:rPr>
        <w:t>Audit</w:t>
      </w:r>
    </w:p>
    <w:p>
      <w:pPr>
        <w:spacing w:after="200"/>
        <w:jc w:val="both"/>
      </w:pPr>
      <w:r>
        <w:rPr>
          <w:rFonts w:ascii="Avenir Next LT Pro" w:hAnsi="Avenir Next LT Pro"/>
          <w:b w:val="0"/>
          <w:i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i w:val="0"/>
          <w:color w:val="1C4076"/>
          <w:sz w:val="28"/>
        </w:rPr>
        <w:t>ATTACHMENT A: HIGH-RISK SANCTIONED COUNTRIES</w:t>
      </w:r>
    </w:p>
    <w:p>
      <w:pPr>
        <w:keepNext/>
        <w:spacing w:before="120" w:after="80"/>
      </w:pPr>
      <w:r>
        <w:rPr>
          <w:rFonts w:ascii="Avenir Next LT Pro" w:hAnsi="Avenir Next LT Pro"/>
          <w:b/>
          <w:i w:val="0"/>
          <w:color w:val="1C4076"/>
          <w:sz w:val="24"/>
        </w:rPr>
        <w:t>Revised in April 2026</w:t>
      </w:r>
    </w:p>
    <w:p>
      <w:pPr>
        <w:spacing w:after="200"/>
        <w:jc w:val="both"/>
      </w:pPr>
      <w:r>
        <w:rPr>
          <w:rFonts w:ascii="Avenir Next LT Pro" w:hAnsi="Avenir Next LT Pro"/>
          <w:b w:val="0"/>
          <w:i w:val="0"/>
          <w:color w:val="1C4076"/>
          <w:sz w:val="22"/>
        </w:rPr>
        <w:t>Russia*</w:t>
      </w:r>
    </w:p>
    <w:p>
      <w:pPr>
        <w:spacing w:after="200"/>
        <w:jc w:val="both"/>
      </w:pPr>
      <w:r>
        <w:rPr>
          <w:rFonts w:ascii="Avenir Next LT Pro" w:hAnsi="Avenir Next LT Pro"/>
          <w:b w:val="0"/>
          <w:i w:val="0"/>
          <w:color w:val="1C4076"/>
          <w:sz w:val="22"/>
        </w:rPr>
        <w:t>Belarus*</w:t>
      </w:r>
    </w:p>
    <w:p>
      <w:pPr>
        <w:spacing w:after="200"/>
        <w:jc w:val="both"/>
      </w:pPr>
      <w:r>
        <w:rPr>
          <w:rFonts w:ascii="Avenir Next LT Pro" w:hAnsi="Avenir Next LT Pro"/>
          <w:b w:val="0"/>
          <w:i w:val="0"/>
          <w:color w:val="1C4076"/>
          <w:sz w:val="22"/>
        </w:rPr>
        <w:t>Donetsk, Luhansk, and Crimea*</w:t>
      </w:r>
    </w:p>
    <w:p>
      <w:pPr>
        <w:spacing w:after="200"/>
        <w:jc w:val="both"/>
      </w:pPr>
      <w:r>
        <w:rPr>
          <w:rFonts w:ascii="Avenir Next LT Pro" w:hAnsi="Avenir Next LT Pro"/>
          <w:b w:val="0"/>
          <w:i w:val="0"/>
          <w:color w:val="1C4076"/>
          <w:sz w:val="22"/>
        </w:rPr>
        <w:t>Iran</w:t>
      </w:r>
    </w:p>
    <w:p>
      <w:pPr>
        <w:spacing w:after="200"/>
        <w:jc w:val="both"/>
      </w:pPr>
      <w:r>
        <w:rPr>
          <w:rFonts w:ascii="Avenir Next LT Pro" w:hAnsi="Avenir Next LT Pro"/>
          <w:b w:val="0"/>
          <w:i w:val="0"/>
          <w:color w:val="1C4076"/>
          <w:sz w:val="22"/>
        </w:rPr>
        <w:t>North Korea</w:t>
      </w:r>
    </w:p>
    <w:p>
      <w:pPr>
        <w:spacing w:after="200"/>
        <w:jc w:val="both"/>
      </w:pPr>
      <w:r>
        <w:rPr>
          <w:rFonts w:ascii="Avenir Next LT Pro" w:hAnsi="Avenir Next LT Pro"/>
          <w:b w:val="0"/>
          <w:i w:val="0"/>
          <w:color w:val="1C4076"/>
          <w:sz w:val="22"/>
        </w:rPr>
        <w:t>Cuba</w:t>
      </w:r>
    </w:p>
    <w:p>
      <w:pPr>
        <w:spacing w:after="200"/>
        <w:jc w:val="both"/>
      </w:pPr>
      <w:r>
        <w:rPr>
          <w:rFonts w:ascii="Avenir Next LT Pro" w:hAnsi="Avenir Next LT Pro"/>
          <w:b w:val="0"/>
          <w:i w:val="0"/>
          <w:color w:val="1C4076"/>
          <w:sz w:val="22"/>
        </w:rPr>
        <w:t>Venezuela</w:t>
      </w:r>
    </w:p>
    <w:p>
      <w:pPr>
        <w:spacing w:after="200"/>
        <w:jc w:val="both"/>
      </w:pPr>
      <w:r>
        <w:rPr>
          <w:rFonts w:ascii="Avenir Next LT Pro" w:hAnsi="Avenir Next LT Pro"/>
          <w:b w:val="0"/>
          <w:i w:val="0"/>
          <w:color w:val="1C4076"/>
          <w:sz w:val="22"/>
        </w:rPr>
        <w:t>Syria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28-04-2026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28-04-2026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Compliance Committe</w:t>
            </w:r>
          </w:p>
          <w:p>
            <w:r>
              <w:rPr>
                <w:rFonts w:ascii="Avenir Next LT Pro" w:hAnsi="Avenir Next LT Pro"/>
                <w:b/>
                <w:i w:val="0"/>
                <w:color w:val="1C4076"/>
                <w:sz w:val="18"/>
              </w:rPr>
              <w:t xml:space="preserve">Approver: </w:t>
            </w:r>
            <w:r>
              <w:rPr>
                <w:rFonts w:ascii="Avenir Next LT Pro" w:hAnsi="Avenir Next LT Pro"/>
                <w:b w:val="0"/>
                <w:i w:val="0"/>
                <w:color w:val="1C4076"/>
                <w:sz w:val="18"/>
              </w:rPr>
              <w:t>BioMar 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Sanctions and Export Controls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