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th8rcmq3.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pPr>
      <w:r>
        <w:rPr>
          <w:rFonts w:ascii="Avenir Next LT Pro" w:hAnsi="Avenir Next LT Pro"/>
          <w:b/>
          <w:i w:val="0"/>
          <w:color w:val="1C4076"/>
          <w:sz w:val="28"/>
        </w:rPr>
        <w:t>Name and objects</w:t>
      </w:r>
    </w:p>
    <w:p>
      <w:pPr>
        <w:spacing w:after="200"/>
        <w:jc w:val="both"/>
      </w:pPr>
      <w:r>
        <w:rPr>
          <w:rFonts w:ascii="Avenir Next LT Pro" w:hAnsi="Avenir Next LT Pro"/>
          <w:b w:val="0"/>
          <w:i w:val="0"/>
          <w:color w:val="1C4076"/>
          <w:sz w:val="22"/>
        </w:rPr>
        <w:t>1.1  The Company’s name is BioMar Group A/S.</w:t>
      </w:r>
    </w:p>
    <w:p>
      <w:pPr>
        <w:spacing w:after="200"/>
        <w:jc w:val="both"/>
      </w:pPr>
      <w:r>
        <w:rPr>
          <w:rFonts w:ascii="Avenir Next LT Pro" w:hAnsi="Avenir Next LT Pro"/>
          <w:b w:val="0"/>
          <w:i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i w:val="0"/>
          <w:color w:val="1C4076"/>
          <w:sz w:val="28"/>
        </w:rPr>
        <w:t>Share capital and shares</w:t>
      </w:r>
    </w:p>
    <w:p>
      <w:pPr>
        <w:spacing w:after="200"/>
        <w:jc w:val="both"/>
      </w:pPr>
      <w:r>
        <w:rPr>
          <w:rFonts w:ascii="Avenir Next LT Pro" w:hAnsi="Avenir Next LT Pro"/>
          <w:b w:val="0"/>
          <w:i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i w:val="0"/>
          <w:color w:val="1C4076"/>
          <w:sz w:val="22"/>
        </w:rPr>
        <w:t>2.2  The share capital has been fully paid up.</w:t>
      </w:r>
    </w:p>
    <w:p>
      <w:pPr>
        <w:spacing w:after="200"/>
        <w:jc w:val="both"/>
      </w:pPr>
      <w:r>
        <w:rPr>
          <w:rFonts w:ascii="Avenir Next LT Pro" w:hAnsi="Avenir Next LT Pro"/>
          <w:b w:val="0"/>
          <w:i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i w:val="0"/>
          <w:color w:val="1C4076"/>
          <w:sz w:val="22"/>
        </w:rPr>
        <w:t>2.4  The register of shareholders is kept by VP Securities A/S, company reg. (CVR) no. 21 59 93 36.</w:t>
      </w:r>
    </w:p>
    <w:p>
      <w:pPr>
        <w:spacing w:after="200"/>
        <w:jc w:val="both"/>
      </w:pPr>
      <w:r>
        <w:rPr>
          <w:rFonts w:ascii="Avenir Next LT Pro" w:hAnsi="Avenir Next LT Pro"/>
          <w:b w:val="0"/>
          <w:i w:val="0"/>
          <w:color w:val="1C4076"/>
          <w:sz w:val="22"/>
        </w:rPr>
        <w:t>2.5  The shares are negotiable instruments. No restrictions shall apply to the transferability of the shares.</w:t>
      </w:r>
    </w:p>
    <w:p>
      <w:pPr>
        <w:spacing w:after="200"/>
        <w:jc w:val="both"/>
      </w:pPr>
      <w:r>
        <w:rPr>
          <w:rFonts w:ascii="Avenir Next LT Pro" w:hAnsi="Avenir Next LT Pro"/>
          <w:b w:val="0"/>
          <w:i w:val="0"/>
          <w:color w:val="1C4076"/>
          <w:sz w:val="22"/>
        </w:rPr>
        <w:t>2.6 No shares shall carry special rights.</w:t>
      </w:r>
    </w:p>
    <w:p>
      <w:pPr>
        <w:spacing w:after="200"/>
        <w:jc w:val="both"/>
      </w:pPr>
      <w:r>
        <w:rPr>
          <w:rFonts w:ascii="Avenir Next LT Pro" w:hAnsi="Avenir Next LT Pro"/>
          <w:b w:val="0"/>
          <w:i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i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i w:val="0"/>
          <w:color w:val="1C4076"/>
          <w:sz w:val="28"/>
        </w:rPr>
        <w:t>Authorisations to increase share capital</w:t>
      </w:r>
    </w:p>
    <w:p>
      <w:pPr>
        <w:spacing w:after="200"/>
        <w:jc w:val="both"/>
      </w:pPr>
      <w:r>
        <w:rPr>
          <w:rFonts w:ascii="Avenir Next LT Pro" w:hAnsi="Avenir Next LT Pro"/>
          <w:b w:val="0"/>
          <w:i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i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i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i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i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i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i w:val="0"/>
          <w:color w:val="1C4076"/>
          <w:sz w:val="28"/>
        </w:rPr>
        <w:t>Board of Directors</w:t>
      </w:r>
    </w:p>
    <w:p>
      <w:pPr>
        <w:spacing w:after="200"/>
        <w:jc w:val="both"/>
      </w:pPr>
      <w:r>
        <w:rPr>
          <w:rFonts w:ascii="Avenir Next LT Pro" w:hAnsi="Avenir Next LT Pro"/>
          <w:b w:val="0"/>
          <w:i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i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i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i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i w:val="0"/>
          <w:color w:val="1C4076"/>
          <w:sz w:val="22"/>
        </w:rPr>
        <w:t>4.5  The Board of Directors is authorised to pass one or more resolutions to distribute interim dividends.</w:t>
      </w:r>
    </w:p>
    <w:p>
      <w:pPr>
        <w:keepNext/>
        <w:spacing w:before="260" w:after="160"/>
      </w:pPr>
      <w:r>
        <w:rPr>
          <w:rFonts w:ascii="Avenir Next LT Pro" w:hAnsi="Avenir Next LT Pro"/>
          <w:b/>
          <w:i w:val="0"/>
          <w:color w:val="1C4076"/>
          <w:sz w:val="28"/>
        </w:rPr>
        <w:t>Executive Management</w:t>
      </w:r>
    </w:p>
    <w:p>
      <w:pPr>
        <w:spacing w:after="200"/>
        <w:jc w:val="both"/>
      </w:pPr>
      <w:r>
        <w:rPr>
          <w:rFonts w:ascii="Avenir Next LT Pro" w:hAnsi="Avenir Next LT Pro"/>
          <w:b w:val="0"/>
          <w:i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i w:val="0"/>
          <w:color w:val="1C4076"/>
          <w:sz w:val="28"/>
        </w:rPr>
        <w:t>Rules of signature</w:t>
      </w:r>
    </w:p>
    <w:p>
      <w:pPr>
        <w:spacing w:after="200"/>
        <w:jc w:val="both"/>
      </w:pPr>
      <w:r>
        <w:rPr>
          <w:rFonts w:ascii="Avenir Next LT Pro" w:hAnsi="Avenir Next LT Pro"/>
          <w:b w:val="0"/>
          <w:i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i w:val="0"/>
          <w:color w:val="1C4076"/>
          <w:sz w:val="28"/>
        </w:rPr>
        <w:t>Corporate language</w:t>
      </w:r>
    </w:p>
    <w:p>
      <w:pPr>
        <w:spacing w:after="200"/>
        <w:jc w:val="both"/>
      </w:pPr>
      <w:r>
        <w:rPr>
          <w:rFonts w:ascii="Avenir Next LT Pro" w:hAnsi="Avenir Next LT Pro"/>
          <w:b w:val="0"/>
          <w:i w:val="0"/>
          <w:color w:val="1C4076"/>
          <w:sz w:val="22"/>
        </w:rPr>
        <w:t>7.1  The Company’s corporate language is English.</w:t>
      </w:r>
    </w:p>
    <w:p>
      <w:pPr>
        <w:spacing w:after="200"/>
        <w:jc w:val="both"/>
      </w:pPr>
      <w:r>
        <w:rPr>
          <w:rFonts w:ascii="Avenir Next LT Pro" w:hAnsi="Avenir Next LT Pro"/>
          <w:b w:val="0"/>
          <w:i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i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i w:val="0"/>
          <w:color w:val="1C4076"/>
          <w:sz w:val="28"/>
        </w:rPr>
        <w:t>Electronic communication</w:t>
      </w:r>
    </w:p>
    <w:p>
      <w:pPr>
        <w:spacing w:after="200"/>
        <w:jc w:val="both"/>
      </w:pPr>
      <w:r>
        <w:rPr>
          <w:rFonts w:ascii="Avenir Next LT Pro" w:hAnsi="Avenir Next LT Pro"/>
          <w:b w:val="0"/>
          <w:i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i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i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i w:val="0"/>
          <w:color w:val="1C4076"/>
          <w:sz w:val="28"/>
        </w:rPr>
        <w:t>General meeting, venue and notice</w:t>
      </w:r>
    </w:p>
    <w:p>
      <w:pPr>
        <w:spacing w:after="200"/>
        <w:jc w:val="both"/>
      </w:pPr>
      <w:r>
        <w:rPr>
          <w:rFonts w:ascii="Avenir Next LT Pro" w:hAnsi="Avenir Next LT Pro"/>
          <w:b w:val="0"/>
          <w:i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i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i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i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i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i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spacing w:after="200"/>
        <w:jc w:val="both"/>
      </w:pPr>
      <w:r>
        <w:rPr>
          <w:rFonts w:ascii="Avenir Next LT Pro" w:hAnsi="Avenir Next LT Pro"/>
          <w:b w:val="0"/>
          <w:i w:val="0"/>
          <w:color w:val="1C4076"/>
          <w:sz w:val="22"/>
        </w:rPr>
        <w:t>9.7 The general meeting shall be presided over by a chairperson appointed by the Board of Directors.</w:t>
      </w:r>
    </w:p>
    <w:p>
      <w:pPr>
        <w:keepNext/>
        <w:spacing w:before="260" w:after="160"/>
      </w:pPr>
      <w:r>
        <w:rPr>
          <w:rFonts w:ascii="Avenir Next LT Pro" w:hAnsi="Avenir Next LT Pro"/>
          <w:b/>
          <w:i w:val="0"/>
          <w:color w:val="1C4076"/>
          <w:sz w:val="28"/>
        </w:rPr>
        <w:t>Agenda for the annual general meeting</w:t>
      </w:r>
    </w:p>
    <w:p>
      <w:pPr>
        <w:spacing w:after="200"/>
        <w:jc w:val="both"/>
      </w:pPr>
      <w:r>
        <w:rPr>
          <w:rFonts w:ascii="Avenir Next LT Pro" w:hAnsi="Avenir Next LT Pro"/>
          <w:b w:val="0"/>
          <w:i w:val="0"/>
          <w:color w:val="1C4076"/>
          <w:sz w:val="22"/>
        </w:rPr>
        <w:t>10.1 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spacing w:after="200"/>
        <w:jc w:val="both"/>
      </w:pPr>
      <w:r>
        <w:rPr>
          <w:rFonts w:ascii="Avenir Next LT Pro" w:hAnsi="Avenir Next LT Pro"/>
          <w:b w:val="0"/>
          <w:i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i w:val="0"/>
          <w:color w:val="1C4076"/>
          <w:sz w:val="28"/>
        </w:rPr>
        <w:t>Shareholders’ attendance and voting rights at the general meeting</w:t>
      </w:r>
    </w:p>
    <w:p>
      <w:pPr>
        <w:spacing w:after="200"/>
        <w:jc w:val="both"/>
      </w:pPr>
      <w:r>
        <w:rPr>
          <w:rFonts w:ascii="Avenir Next LT Pro" w:hAnsi="Avenir Next LT Pro"/>
          <w:b w:val="0"/>
          <w:i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i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i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pPr>
      <w:r>
        <w:rPr>
          <w:rFonts w:ascii="Avenir Next LT Pro" w:hAnsi="Avenir Next LT Pro"/>
          <w:b/>
          <w:i w:val="0"/>
          <w:color w:val="1C4076"/>
          <w:sz w:val="28"/>
        </w:rPr>
        <w:t>Resolutions at general meetings</w:t>
      </w:r>
    </w:p>
    <w:p>
      <w:pPr>
        <w:spacing w:after="200"/>
        <w:jc w:val="both"/>
      </w:pPr>
      <w:r>
        <w:rPr>
          <w:rFonts w:ascii="Avenir Next LT Pro" w:hAnsi="Avenir Next LT Pro"/>
          <w:b w:val="0"/>
          <w:i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i w:val="0"/>
          <w:color w:val="1C4076"/>
          <w:sz w:val="28"/>
        </w:rPr>
        <w:t>Indemnification scheme</w:t>
      </w:r>
    </w:p>
    <w:p>
      <w:pPr>
        <w:spacing w:after="200"/>
        <w:jc w:val="both"/>
      </w:pPr>
      <w:r>
        <w:rPr>
          <w:rFonts w:ascii="Avenir Next LT Pro" w:hAnsi="Avenir Next LT Pro"/>
          <w:b w:val="0"/>
          <w:i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i w:val="0"/>
          <w:color w:val="1C4076"/>
          <w:sz w:val="28"/>
        </w:rPr>
        <w:t>Annual report and audit</w:t>
      </w:r>
    </w:p>
    <w:p>
      <w:pPr>
        <w:spacing w:after="200"/>
        <w:jc w:val="both"/>
      </w:pPr>
      <w:r>
        <w:rPr>
          <w:rFonts w:ascii="Avenir Next LT Pro" w:hAnsi="Avenir Next LT Pro"/>
          <w:b w:val="0"/>
          <w:i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i w:val="0"/>
          <w:color w:val="1C4076"/>
          <w:sz w:val="28"/>
        </w:rPr>
        <w:t>Financial year</w:t>
      </w:r>
    </w:p>
    <w:p>
      <w:pPr>
        <w:spacing w:after="200"/>
        <w:jc w:val="both"/>
      </w:pPr>
      <w:r>
        <w:rPr>
          <w:rFonts w:ascii="Avenir Next LT Pro" w:hAnsi="Avenir Next LT Pro"/>
          <w:b w:val="0"/>
          <w:i w:val="0"/>
          <w:color w:val="1C4076"/>
          <w:sz w:val="22"/>
        </w:rPr>
        <w:t>15.1 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