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1di5g7u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spacing w:after="200"/>
        <w:jc w:val="both"/>
      </w:pPr>
      <w:r>
        <w:rPr>
          <w:rFonts w:ascii="Avenir Next LT Pro" w:hAnsi="Avenir Next LT Pro"/>
          <w:b w:val="0"/>
          <w:i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i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i w:val="0"/>
          <w:color w:val="1C4076"/>
          <w:sz w:val="28"/>
        </w:rPr>
        <w:t>2 Objectives</w:t>
      </w:r>
    </w:p>
    <w:p>
      <w:pPr>
        <w:spacing w:after="200"/>
        <w:jc w:val="both"/>
      </w:pPr>
      <w:r>
        <w:rPr>
          <w:rFonts w:ascii="Avenir Next LT Pro" w:hAnsi="Avenir Next LT Pro"/>
          <w:b w:val="0"/>
          <w:i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i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i w:val="0"/>
          <w:color w:val="1C4076"/>
          <w:sz w:val="28"/>
        </w:rPr>
        <w:t>3 Remuneration of the members of the Board of Directors</w:t>
      </w:r>
    </w:p>
    <w:p>
      <w:pPr>
        <w:spacing w:after="20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i w:val="0"/>
          <w:color w:val="1C4076"/>
          <w:sz w:val="22"/>
        </w:rPr>
        <w:t>3.1 Fixed fee</w:t>
      </w:r>
    </w:p>
    <w:p>
      <w:pPr>
        <w:spacing w:after="20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spacing w:after="200"/>
        <w:jc w:val="both"/>
      </w:pPr>
      <w:r>
        <w:rPr>
          <w:rFonts w:ascii="Avenir Next LT Pro" w:hAnsi="Avenir Next LT Pro"/>
          <w:b w:val="0"/>
          <w:i w:val="0"/>
          <w:color w:val="1C4076"/>
          <w:sz w:val="22"/>
        </w:rPr>
        <w:t>3.2 Incentive pay</w:t>
      </w:r>
    </w:p>
    <w:p>
      <w:pPr>
        <w:spacing w:after="200"/>
        <w:jc w:val="both"/>
      </w:pPr>
      <w:r>
        <w:rPr>
          <w:rFonts w:ascii="Avenir Next LT Pro" w:hAnsi="Avenir Next LT Pro"/>
          <w:b w:val="0"/>
          <w:i w:val="0"/>
          <w:color w:val="1C4076"/>
          <w:sz w:val="22"/>
        </w:rPr>
        <w:t>The Board of Directors shall not receive any incentive pay from the Company.</w:t>
      </w:r>
    </w:p>
    <w:p>
      <w:pPr>
        <w:spacing w:after="200"/>
        <w:jc w:val="both"/>
      </w:pPr>
      <w:r>
        <w:rPr>
          <w:rFonts w:ascii="Avenir Next LT Pro" w:hAnsi="Avenir Next LT Pro"/>
          <w:b w:val="0"/>
          <w:i w:val="0"/>
          <w:color w:val="1C4076"/>
          <w:sz w:val="22"/>
        </w:rPr>
        <w:t>3.3 Ad-hoc tasks</w:t>
      </w:r>
    </w:p>
    <w:p>
      <w:pPr>
        <w:spacing w:after="20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i w:val="0"/>
          <w:color w:val="1C4076"/>
          <w:sz w:val="22"/>
        </w:rPr>
        <w:t>3.4 Benefits and reimbursement of expenses</w:t>
      </w:r>
    </w:p>
    <w:p>
      <w:pPr>
        <w:spacing w:after="20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i w:val="0"/>
          <w:color w:val="1C4076"/>
          <w:sz w:val="22"/>
        </w:rPr>
        <w:t>3.5 Term</w:t>
      </w:r>
    </w:p>
    <w:p>
      <w:pPr>
        <w:spacing w:after="20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i w:val="0"/>
          <w:color w:val="1C4076"/>
          <w:sz w:val="28"/>
        </w:rPr>
        <w:t>4 Remuneration of Executive Management</w:t>
      </w:r>
    </w:p>
    <w:p>
      <w:pPr>
        <w:spacing w:after="20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i w:val="0"/>
          <w:color w:val="1C4076"/>
          <w:sz w:val="22"/>
        </w:rPr>
        <w:t>4.1 Fixed pay</w:t>
      </w:r>
    </w:p>
    <w:p>
      <w:pPr>
        <w:spacing w:after="20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i w:val="0"/>
          <w:color w:val="1C4076"/>
          <w:sz w:val="22"/>
        </w:rPr>
        <w:t>4.2 Pension and benefits</w:t>
      </w:r>
    </w:p>
    <w:p>
      <w:pPr>
        <w:spacing w:after="200"/>
        <w:jc w:val="both"/>
      </w:pPr>
      <w:r>
        <w:rPr>
          <w:rFonts w:ascii="Avenir Next LT Pro" w:hAnsi="Avenir Next LT Pro"/>
          <w:b w:val="0"/>
          <w:i w:val="0"/>
          <w:color w:val="1C4076"/>
          <w:sz w:val="22"/>
        </w:rPr>
        <w:t>4.2.1 Pension</w:t>
      </w:r>
    </w:p>
    <w:p>
      <w:pPr>
        <w:spacing w:after="20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i w:val="0"/>
          <w:color w:val="1C4076"/>
          <w:sz w:val="22"/>
        </w:rPr>
        <w:t>4.2.2 Benefits</w:t>
      </w:r>
    </w:p>
    <w:p>
      <w:pPr>
        <w:spacing w:after="20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i w:val="0"/>
          <w:color w:val="1C4076"/>
          <w:sz w:val="22"/>
        </w:rPr>
        <w:t>4.3 Incentive pay</w:t>
      </w:r>
    </w:p>
    <w:p>
      <w:pPr>
        <w:spacing w:after="200"/>
        <w:jc w:val="both"/>
      </w:pPr>
      <w:r>
        <w:rPr>
          <w:rFonts w:ascii="Avenir Next LT Pro" w:hAnsi="Avenir Next LT Pro"/>
          <w:b w:val="0"/>
          <w:i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i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i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i w:val="0"/>
          <w:color w:val="1C4076"/>
          <w:sz w:val="22"/>
        </w:rPr>
        <w:t>4.3.4 Short-term incentives</w:t>
      </w:r>
    </w:p>
    <w:p>
      <w:pPr>
        <w:spacing w:after="200"/>
        <w:jc w:val="both"/>
      </w:pPr>
      <w:r>
        <w:rPr>
          <w:rFonts w:ascii="Avenir Next LT Pro" w:hAnsi="Avenir Next LT Pro"/>
          <w:b w:val="0"/>
          <w:i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i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i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i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i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i w:val="0"/>
          <w:color w:val="1C4076"/>
          <w:sz w:val="22"/>
        </w:rPr>
        <w:t>4.3.5 Long-term incentives</w:t>
      </w:r>
    </w:p>
    <w:p>
      <w:pPr>
        <w:spacing w:after="200"/>
        <w:jc w:val="both"/>
      </w:pPr>
      <w:r>
        <w:rPr>
          <w:rFonts w:ascii="Avenir Next LT Pro" w:hAnsi="Avenir Next LT Pro"/>
          <w:b w:val="0"/>
          <w:i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i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i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i/>
          <w:color w:val="1C4076"/>
          <w:sz w:val="22"/>
        </w:rPr>
        <w:t>4.3.5.4 Cash-based long-term incentive</w:t>
      </w:r>
    </w:p>
    <w:p>
      <w:pPr>
        <w:pStyle w:val="ListBullet"/>
        <w:spacing w:after="80"/>
      </w:pPr>
      <w:r>
        <w:rPr>
          <w:rFonts w:ascii="Avenir Next LT Pro" w:hAnsi="Avenir Next LT Pro"/>
          <w:b w:val="0"/>
          <w:i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pStyle w:val="ListBullet"/>
        <w:spacing w:after="80"/>
      </w:pPr>
      <w:r>
        <w:rPr>
          <w:rFonts w:ascii="Avenir Next LT Pro" w:hAnsi="Avenir Next LT Pro"/>
          <w:b w:val="0"/>
          <w:i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pStyle w:val="ListBullet"/>
        <w:spacing w:after="80"/>
      </w:pPr>
      <w:r>
        <w:rPr>
          <w:rFonts w:ascii="Avenir Next LT Pro" w:hAnsi="Avenir Next LT Pro"/>
          <w:b w:val="0"/>
          <w:i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pStyle w:val="ListBullet"/>
        <w:spacing w:after="80"/>
      </w:pPr>
      <w:r>
        <w:rPr>
          <w:rFonts w:ascii="Avenir Next LT Pro" w:hAnsi="Avenir Next LT Pro"/>
          <w:b w:val="0"/>
          <w:i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i/>
          <w:color w:val="1C4076"/>
          <w:sz w:val="22"/>
        </w:rPr>
        <w:t>4.3.5.5  Share based long-term incentives</w:t>
      </w:r>
    </w:p>
    <w:p>
      <w:pPr>
        <w:pStyle w:val="ListBullet"/>
        <w:spacing w:after="80"/>
      </w:pPr>
      <w:r>
        <w:rPr>
          <w:rFonts w:ascii="Avenir Next LT Pro" w:hAnsi="Avenir Next LT Pro"/>
          <w:b w:val="0"/>
          <w:i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pStyle w:val="ListBullet"/>
        <w:spacing w:after="80"/>
      </w:pPr>
      <w:r>
        <w:rPr>
          <w:rFonts w:ascii="Avenir Next LT Pro" w:hAnsi="Avenir Next LT Pro"/>
          <w:b w:val="0"/>
          <w:i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pStyle w:val="ListBullet"/>
        <w:spacing w:after="80"/>
      </w:pPr>
      <w:r>
        <w:rPr>
          <w:rFonts w:ascii="Avenir Next LT Pro" w:hAnsi="Avenir Next LT Pro"/>
          <w:b w:val="0"/>
          <w:i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pStyle w:val="ListBullet"/>
        <w:spacing w:after="80"/>
      </w:pPr>
      <w:r>
        <w:rPr>
          <w:rFonts w:ascii="Avenir Next LT Pro" w:hAnsi="Avenir Next LT Pro"/>
          <w:b w:val="0"/>
          <w:i w:val="0"/>
          <w:color w:val="1C4076"/>
          <w:sz w:val="22"/>
        </w:rPr>
        <w:t>(d) The Company intends to use treasury shares to meet its obligations in relation to long-term share-based incentives. The Board of Directors may decide to satisfy a grant in cash if deemed appropriate.</w:t>
      </w:r>
    </w:p>
    <w:p>
      <w:pPr>
        <w:pStyle w:val="ListBullet"/>
        <w:spacing w:after="80"/>
      </w:pPr>
      <w:r>
        <w:rPr>
          <w:rFonts w:ascii="Avenir Next LT Pro" w:hAnsi="Avenir Next LT Pro"/>
          <w:b w:val="0"/>
          <w:i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i w:val="0"/>
          <w:color w:val="1C4076"/>
          <w:sz w:val="22"/>
        </w:rPr>
        <w:t>4.3.6 Adjustment and repayment of incentive-based remuneration</w:t>
      </w:r>
    </w:p>
    <w:p>
      <w:pPr>
        <w:spacing w:after="200"/>
        <w:jc w:val="both"/>
      </w:pPr>
      <w:r>
        <w:rPr>
          <w:rFonts w:ascii="Avenir Next LT Pro" w:hAnsi="Avenir Next LT Pro"/>
          <w:b w:val="0"/>
          <w:i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i w:val="0"/>
          <w:color w:val="1C4076"/>
          <w:sz w:val="22"/>
        </w:rPr>
        <w:t>4.3.7 Extraordinary incentives</w:t>
      </w:r>
    </w:p>
    <w:p>
      <w:pPr>
        <w:spacing w:after="200"/>
        <w:jc w:val="both"/>
      </w:pPr>
      <w:r>
        <w:rPr>
          <w:rFonts w:ascii="Avenir Next LT Pro" w:hAnsi="Avenir Next LT Pro"/>
          <w:b w:val="0"/>
          <w:i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i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i w:val="0"/>
          <w:color w:val="1C4076"/>
          <w:sz w:val="22"/>
        </w:rPr>
        <w:t>4.3.8 Clawback</w:t>
      </w:r>
    </w:p>
    <w:p>
      <w:pPr>
        <w:spacing w:after="200"/>
        <w:jc w:val="both"/>
      </w:pPr>
      <w:r>
        <w:rPr>
          <w:rFonts w:ascii="Avenir Next LT Pro" w:hAnsi="Avenir Next LT Pro"/>
          <w:b w:val="0"/>
          <w:i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i w:val="0"/>
          <w:color w:val="1C4076"/>
          <w:sz w:val="28"/>
        </w:rPr>
        <w:t>5 Service agreements</w:t>
      </w:r>
    </w:p>
    <w:p>
      <w:pPr>
        <w:spacing w:after="200"/>
        <w:jc w:val="both"/>
      </w:pPr>
      <w:r>
        <w:rPr>
          <w:rFonts w:ascii="Avenir Next LT Pro" w:hAnsi="Avenir Next LT Pro"/>
          <w:b w:val="0"/>
          <w:i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i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i w:val="0"/>
          <w:color w:val="1C4076"/>
          <w:sz w:val="28"/>
        </w:rPr>
        <w:t>6 D&amp;O insurance and indemnification</w:t>
      </w:r>
    </w:p>
    <w:p>
      <w:pPr>
        <w:spacing w:after="200"/>
        <w:jc w:val="both"/>
      </w:pPr>
      <w:r>
        <w:rPr>
          <w:rFonts w:ascii="Avenir Next LT Pro" w:hAnsi="Avenir Next LT Pro"/>
          <w:b w:val="0"/>
          <w:i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i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i w:val="0"/>
          <w:color w:val="1C4076"/>
          <w:sz w:val="28"/>
        </w:rPr>
        <w:t>7 Deviations</w:t>
      </w:r>
    </w:p>
    <w:p>
      <w:pPr>
        <w:spacing w:after="200"/>
        <w:jc w:val="both"/>
      </w:pPr>
      <w:r>
        <w:rPr>
          <w:rFonts w:ascii="Avenir Next LT Pro" w:hAnsi="Avenir Next LT Pro"/>
          <w:b w:val="0"/>
          <w:i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i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i w:val="0"/>
          <w:color w:val="1C4076"/>
          <w:sz w:val="28"/>
        </w:rPr>
        <w:t>8 Remuneration to the Company’s other employees</w:t>
      </w:r>
    </w:p>
    <w:p>
      <w:pPr>
        <w:spacing w:after="200"/>
        <w:jc w:val="both"/>
      </w:pPr>
      <w:r>
        <w:rPr>
          <w:rFonts w:ascii="Avenir Next LT Pro" w:hAnsi="Avenir Next LT Pro"/>
          <w:b w:val="0"/>
          <w:i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i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i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i w:val="0"/>
          <w:color w:val="1C4076"/>
          <w:sz w:val="28"/>
        </w:rPr>
        <w:t>9 Approval process and conflicts of interest</w:t>
      </w:r>
    </w:p>
    <w:p>
      <w:pPr>
        <w:spacing w:after="200"/>
        <w:jc w:val="both"/>
      </w:pPr>
      <w:r>
        <w:rPr>
          <w:rFonts w:ascii="Avenir Next LT Pro" w:hAnsi="Avenir Next LT Pro"/>
          <w:b w:val="0"/>
          <w:i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i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i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i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i w:val="0"/>
          <w:color w:val="1C4076"/>
          <w:sz w:val="28"/>
        </w:rPr>
        <w:t>10 Remuneration report</w:t>
      </w:r>
    </w:p>
    <w:p>
      <w:pPr>
        <w:spacing w:after="200"/>
        <w:jc w:val="both"/>
      </w:pPr>
      <w:r>
        <w:rPr>
          <w:rFonts w:ascii="Avenir Next LT Pro" w:hAnsi="Avenir Next LT Pro"/>
          <w:b w:val="0"/>
          <w:i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i w:val="0"/>
          <w:color w:val="1C4076"/>
          <w:sz w:val="28"/>
        </w:rPr>
        <w:t>11 Adoption and publication</w:t>
      </w:r>
    </w:p>
    <w:p>
      <w:pPr>
        <w:spacing w:after="200"/>
        <w:jc w:val="both"/>
      </w:pPr>
      <w:r>
        <w:rPr>
          <w:rFonts w:ascii="Avenir Next LT Pro" w:hAnsi="Avenir Next LT Pro"/>
          <w:b w:val="0"/>
          <w:i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