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wbwpvzm.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ind w:left="708" w:hanging="708"/>
      </w:pPr>
      <w:r>
        <w:rPr>
          <w:rFonts w:ascii="Avenir Next LT Pro" w:hAnsi="Avenir Next LT Pro"/>
          <w:b/>
          <w:i w:val="0"/>
          <w:color w:val="1C4076"/>
          <w:sz w:val="28"/>
        </w:rPr>
        <w:t>Name and objects</w:t>
      </w:r>
    </w:p>
    <w:p>
      <w:pPr>
        <w:spacing w:after="200"/>
        <w:ind w:left="708" w:hanging="708"/>
        <w:jc w:val="both"/>
      </w:pPr>
      <w:r>
        <w:rPr>
          <w:rFonts w:ascii="Avenir Next LT Pro" w:hAnsi="Avenir Next LT Pro"/>
          <w:b w:val="0"/>
          <w:i w:val="0"/>
          <w:color w:val="1C4076"/>
          <w:sz w:val="22"/>
        </w:rPr>
        <w:t>1.1  The Company’s name is BioMar Group A/S.</w:t>
      </w:r>
    </w:p>
    <w:p>
      <w:pPr>
        <w:spacing w:after="200"/>
        <w:ind w:left="708" w:hanging="708"/>
        <w:jc w:val="both"/>
      </w:pPr>
      <w:r>
        <w:rPr>
          <w:rFonts w:ascii="Avenir Next LT Pro" w:hAnsi="Avenir Next LT Pro"/>
          <w:b w:val="0"/>
          <w:i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ind w:left="708" w:hanging="708"/>
      </w:pPr>
      <w:r>
        <w:rPr>
          <w:rFonts w:ascii="Avenir Next LT Pro" w:hAnsi="Avenir Next LT Pro"/>
          <w:b/>
          <w:i w:val="0"/>
          <w:color w:val="1C4076"/>
          <w:sz w:val="28"/>
        </w:rPr>
        <w:t>Share capital and shares</w:t>
      </w:r>
    </w:p>
    <w:p>
      <w:pPr>
        <w:spacing w:after="200"/>
        <w:ind w:left="708" w:hanging="708"/>
        <w:jc w:val="both"/>
      </w:pPr>
      <w:r>
        <w:rPr>
          <w:rFonts w:ascii="Avenir Next LT Pro" w:hAnsi="Avenir Next LT Pro"/>
          <w:b w:val="0"/>
          <w:i w:val="0"/>
          <w:color w:val="1C4076"/>
          <w:sz w:val="22"/>
        </w:rPr>
        <w:t>2.1  The Company’s nominal share capital is DKK 250,000,000 divided into shares of DKK 2.50 each or multiples thereof.</w:t>
      </w:r>
    </w:p>
    <w:p>
      <w:pPr>
        <w:spacing w:after="200"/>
        <w:ind w:left="708" w:hanging="708"/>
        <w:jc w:val="both"/>
      </w:pPr>
      <w:r>
        <w:rPr>
          <w:rFonts w:ascii="Avenir Next LT Pro" w:hAnsi="Avenir Next LT Pro"/>
          <w:b w:val="0"/>
          <w:i w:val="0"/>
          <w:color w:val="1C4076"/>
          <w:sz w:val="22"/>
        </w:rPr>
        <w:t>2.2  The share capital has been fully paid up.</w:t>
      </w:r>
    </w:p>
    <w:p>
      <w:pPr>
        <w:spacing w:after="200"/>
        <w:ind w:left="708" w:hanging="708"/>
        <w:jc w:val="both"/>
      </w:pPr>
      <w:r>
        <w:rPr>
          <w:rFonts w:ascii="Avenir Next LT Pro" w:hAnsi="Avenir Next LT Pro"/>
          <w:b w:val="0"/>
          <w:i w:val="0"/>
          <w:color w:val="1C4076"/>
          <w:sz w:val="22"/>
        </w:rPr>
        <w:t>2.3  The shares shall be issued in the name of the holder and shall be recorded in the name of the holder in the Company’s register of shareholders.</w:t>
      </w:r>
    </w:p>
    <w:p>
      <w:pPr>
        <w:spacing w:after="200"/>
        <w:ind w:left="708" w:hanging="708"/>
        <w:jc w:val="both"/>
      </w:pPr>
      <w:r>
        <w:rPr>
          <w:rFonts w:ascii="Avenir Next LT Pro" w:hAnsi="Avenir Next LT Pro"/>
          <w:b w:val="0"/>
          <w:i w:val="0"/>
          <w:color w:val="1C4076"/>
          <w:sz w:val="22"/>
        </w:rPr>
        <w:t>2.4  The register of shareholders is kept by VP Securities A/S, company reg. (CVR) no. 21 59 93 36.</w:t>
      </w:r>
    </w:p>
    <w:p>
      <w:pPr>
        <w:spacing w:after="200"/>
        <w:ind w:left="708" w:hanging="708"/>
        <w:jc w:val="both"/>
      </w:pPr>
      <w:r>
        <w:rPr>
          <w:rFonts w:ascii="Avenir Next LT Pro" w:hAnsi="Avenir Next LT Pro"/>
          <w:b w:val="0"/>
          <w:i w:val="0"/>
          <w:color w:val="1C4076"/>
          <w:sz w:val="22"/>
        </w:rPr>
        <w:t>2.5  The shares are negotiable instruments. No restrictions shall apply to the transferability of the shares.</w:t>
      </w:r>
    </w:p>
    <w:p>
      <w:pPr>
        <w:spacing w:after="200"/>
        <w:ind w:left="708" w:hanging="708"/>
        <w:jc w:val="both"/>
      </w:pPr>
      <w:r>
        <w:rPr>
          <w:rFonts w:ascii="Avenir Next LT Pro" w:hAnsi="Avenir Next LT Pro"/>
          <w:b w:val="0"/>
          <w:i w:val="0"/>
          <w:color w:val="1C4076"/>
          <w:sz w:val="22"/>
        </w:rPr>
        <w:t>2.6 No shares shall carry special rights.</w:t>
      </w:r>
    </w:p>
    <w:p>
      <w:pPr>
        <w:spacing w:after="200"/>
        <w:ind w:left="708" w:hanging="708"/>
        <w:jc w:val="both"/>
      </w:pPr>
      <w:r>
        <w:rPr>
          <w:rFonts w:ascii="Avenir Next LT Pro" w:hAnsi="Avenir Next LT Pro"/>
          <w:b w:val="0"/>
          <w:i w:val="0"/>
          <w:color w:val="1C4076"/>
          <w:sz w:val="22"/>
        </w:rPr>
        <w:t>2.7 No shareholder shall be under an obligation to have his/her shares redeemed in full or in part by the Company or by any third party.</w:t>
      </w:r>
    </w:p>
    <w:p>
      <w:pPr>
        <w:spacing w:after="200"/>
        <w:ind w:left="708" w:hanging="708"/>
        <w:jc w:val="both"/>
      </w:pPr>
      <w:r>
        <w:rPr>
          <w:rFonts w:ascii="Avenir Next LT Pro" w:hAnsi="Avenir Next LT Pro"/>
          <w:b w:val="0"/>
          <w:i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ind w:left="708" w:hanging="708"/>
      </w:pPr>
      <w:r>
        <w:rPr>
          <w:rFonts w:ascii="Avenir Next LT Pro" w:hAnsi="Avenir Next LT Pro"/>
          <w:b/>
          <w:i w:val="0"/>
          <w:color w:val="1C4076"/>
          <w:sz w:val="28"/>
        </w:rPr>
        <w:t>Authorisations to increase share capital</w:t>
      </w:r>
    </w:p>
    <w:p>
      <w:pPr>
        <w:spacing w:after="200"/>
        <w:ind w:left="708" w:hanging="708"/>
        <w:jc w:val="both"/>
      </w:pPr>
      <w:r>
        <w:rPr>
          <w:rFonts w:ascii="Avenir Next LT Pro" w:hAnsi="Avenir Next LT Pro"/>
          <w:b w:val="0"/>
          <w:i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ind w:left="708" w:hanging="708"/>
        <w:jc w:val="both"/>
      </w:pPr>
      <w:r>
        <w:rPr>
          <w:rFonts w:ascii="Avenir Next LT Pro" w:hAnsi="Avenir Next LT Pro"/>
          <w:b w:val="0"/>
          <w:i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ind w:left="708" w:hanging="708"/>
        <w:jc w:val="both"/>
      </w:pPr>
      <w:r>
        <w:rPr>
          <w:rFonts w:ascii="Avenir Next LT Pro" w:hAnsi="Avenir Next LT Pro"/>
          <w:b w:val="0"/>
          <w:i w:val="0"/>
          <w:color w:val="1C4076"/>
          <w:sz w:val="22"/>
        </w:rPr>
        <w:t>3.3  The authorisations set out in Articles 3.1 and 3.2 above are subject to an aggregate issue of new shares corresponding to nominally DKK 50,000,000.</w:t>
      </w:r>
    </w:p>
    <w:p>
      <w:pPr>
        <w:spacing w:after="200"/>
        <w:ind w:left="708" w:hanging="708"/>
        <w:jc w:val="both"/>
      </w:pPr>
      <w:r>
        <w:rPr>
          <w:rFonts w:ascii="Avenir Next LT Pro" w:hAnsi="Avenir Next LT Pro"/>
          <w:b w:val="0"/>
          <w:i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ind w:left="708" w:hanging="708"/>
        <w:jc w:val="both"/>
      </w:pPr>
      <w:r>
        <w:rPr>
          <w:rFonts w:ascii="Avenir Next LT Pro" w:hAnsi="Avenir Next LT Pro"/>
          <w:b w:val="0"/>
          <w:i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ind w:left="708" w:hanging="708"/>
        <w:jc w:val="both"/>
      </w:pPr>
      <w:r>
        <w:rPr>
          <w:rFonts w:ascii="Avenir Next LT Pro" w:hAnsi="Avenir Next LT Pro"/>
          <w:b w:val="0"/>
          <w:i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ind w:left="708" w:hanging="708"/>
      </w:pPr>
      <w:r>
        <w:rPr>
          <w:rFonts w:ascii="Avenir Next LT Pro" w:hAnsi="Avenir Next LT Pro"/>
          <w:b/>
          <w:i w:val="0"/>
          <w:color w:val="1C4076"/>
          <w:sz w:val="28"/>
        </w:rPr>
        <w:t>Board of Directors</w:t>
      </w:r>
    </w:p>
    <w:p>
      <w:pPr>
        <w:spacing w:after="200"/>
        <w:ind w:left="708" w:hanging="708"/>
        <w:jc w:val="both"/>
      </w:pPr>
      <w:r>
        <w:rPr>
          <w:rFonts w:ascii="Avenir Next LT Pro" w:hAnsi="Avenir Next LT Pro"/>
          <w:b w:val="0"/>
          <w:i w:val="0"/>
          <w:color w:val="1C4076"/>
          <w:sz w:val="22"/>
        </w:rPr>
        <w:t>4.1  The Board of Directors consists of not less than four and not more than seven members elected by the general meeting for a term of one year. Re-election of board members may take place.</w:t>
      </w:r>
    </w:p>
    <w:p>
      <w:pPr>
        <w:spacing w:after="200"/>
        <w:ind w:left="708" w:hanging="708"/>
        <w:jc w:val="both"/>
      </w:pPr>
      <w:r>
        <w:rPr>
          <w:rFonts w:ascii="Avenir Next LT Pro" w:hAnsi="Avenir Next LT Pro"/>
          <w:b w:val="0"/>
          <w:i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ind w:left="708" w:hanging="708"/>
        <w:jc w:val="both"/>
      </w:pPr>
      <w:r>
        <w:rPr>
          <w:rFonts w:ascii="Avenir Next LT Pro" w:hAnsi="Avenir Next LT Pro"/>
          <w:b w:val="0"/>
          <w:i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ind w:left="708" w:hanging="708"/>
        <w:jc w:val="both"/>
      </w:pPr>
      <w:r>
        <w:rPr>
          <w:rFonts w:ascii="Avenir Next LT Pro" w:hAnsi="Avenir Next LT Pro"/>
          <w:b w:val="0"/>
          <w:i w:val="0"/>
          <w:color w:val="1C4076"/>
          <w:sz w:val="22"/>
        </w:rPr>
        <w:t>4.4  The Board of Directors forms a quorum when more than half of its members are represented, including the Chair or the Vice Chair.</w:t>
      </w:r>
    </w:p>
    <w:p>
      <w:pPr>
        <w:spacing w:after="200"/>
        <w:ind w:left="708" w:hanging="708"/>
        <w:jc w:val="both"/>
      </w:pPr>
      <w:r>
        <w:rPr>
          <w:rFonts w:ascii="Avenir Next LT Pro" w:hAnsi="Avenir Next LT Pro"/>
          <w:b w:val="0"/>
          <w:i w:val="0"/>
          <w:color w:val="1C4076"/>
          <w:sz w:val="22"/>
        </w:rPr>
        <w:t>4.5  The Board of Directors is authorised to pass one or more resolutions to distribute interim dividends.</w:t>
      </w:r>
    </w:p>
    <w:p>
      <w:pPr>
        <w:keepNext/>
        <w:spacing w:before="260" w:after="160"/>
        <w:ind w:left="708" w:hanging="708"/>
      </w:pPr>
      <w:r>
        <w:rPr>
          <w:rFonts w:ascii="Avenir Next LT Pro" w:hAnsi="Avenir Next LT Pro"/>
          <w:b/>
          <w:i w:val="0"/>
          <w:color w:val="1C4076"/>
          <w:sz w:val="28"/>
        </w:rPr>
        <w:t>Executive Management</w:t>
      </w:r>
    </w:p>
    <w:p>
      <w:pPr>
        <w:spacing w:after="200"/>
        <w:ind w:left="708" w:hanging="708"/>
        <w:jc w:val="both"/>
      </w:pPr>
      <w:r>
        <w:rPr>
          <w:rFonts w:ascii="Avenir Next LT Pro" w:hAnsi="Avenir Next LT Pro"/>
          <w:b w:val="0"/>
          <w:i w:val="0"/>
          <w:color w:val="1C4076"/>
          <w:sz w:val="22"/>
        </w:rPr>
        <w:t>5.1  The Board of Directors appoints an Executive Management consisting of one or more members to be in charge of the day-to-day management of the Company.</w:t>
      </w:r>
    </w:p>
    <w:p>
      <w:pPr>
        <w:keepNext/>
        <w:spacing w:before="260" w:after="160"/>
        <w:ind w:left="708" w:hanging="708"/>
      </w:pPr>
      <w:r>
        <w:rPr>
          <w:rFonts w:ascii="Avenir Next LT Pro" w:hAnsi="Avenir Next LT Pro"/>
          <w:b/>
          <w:i w:val="0"/>
          <w:color w:val="1C4076"/>
          <w:sz w:val="28"/>
        </w:rPr>
        <w:t>Rules of signature</w:t>
      </w:r>
    </w:p>
    <w:p>
      <w:pPr>
        <w:spacing w:after="200"/>
        <w:ind w:left="708" w:hanging="708"/>
        <w:jc w:val="both"/>
      </w:pPr>
      <w:r>
        <w:rPr>
          <w:rFonts w:ascii="Avenir Next LT Pro" w:hAnsi="Avenir Next LT Pro"/>
          <w:b w:val="0"/>
          <w:i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ind w:left="708" w:hanging="708"/>
      </w:pPr>
      <w:r>
        <w:rPr>
          <w:rFonts w:ascii="Avenir Next LT Pro" w:hAnsi="Avenir Next LT Pro"/>
          <w:b/>
          <w:i w:val="0"/>
          <w:color w:val="1C4076"/>
          <w:sz w:val="28"/>
        </w:rPr>
        <w:t>Corporate language</w:t>
      </w:r>
    </w:p>
    <w:p>
      <w:pPr>
        <w:spacing w:after="200"/>
        <w:ind w:left="708" w:hanging="708"/>
        <w:jc w:val="both"/>
      </w:pPr>
      <w:r>
        <w:rPr>
          <w:rFonts w:ascii="Avenir Next LT Pro" w:hAnsi="Avenir Next LT Pro"/>
          <w:b w:val="0"/>
          <w:i w:val="0"/>
          <w:color w:val="1C4076"/>
          <w:sz w:val="22"/>
        </w:rPr>
        <w:t>7.1  The Company’s corporate language is English.</w:t>
      </w:r>
    </w:p>
    <w:p>
      <w:pPr>
        <w:spacing w:after="200"/>
        <w:ind w:left="708" w:hanging="708"/>
        <w:jc w:val="both"/>
      </w:pPr>
      <w:r>
        <w:rPr>
          <w:rFonts w:ascii="Avenir Next LT Pro" w:hAnsi="Avenir Next LT Pro"/>
          <w:b w:val="0"/>
          <w:i w:val="0"/>
          <w:color w:val="1C4076"/>
          <w:sz w:val="22"/>
        </w:rPr>
        <w:t>7.2 Company announcements and annual reports shall be prepared in English and, if decided by the Board of Directors, in Danish.</w:t>
      </w:r>
    </w:p>
    <w:p>
      <w:pPr>
        <w:spacing w:after="200"/>
        <w:ind w:left="708" w:hanging="708"/>
        <w:jc w:val="both"/>
      </w:pPr>
      <w:r>
        <w:rPr>
          <w:rFonts w:ascii="Avenir Next LT Pro" w:hAnsi="Avenir Next LT Pro"/>
          <w:b w:val="0"/>
          <w:i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ind w:left="708" w:hanging="708"/>
      </w:pPr>
      <w:r>
        <w:rPr>
          <w:rFonts w:ascii="Avenir Next LT Pro" w:hAnsi="Avenir Next LT Pro"/>
          <w:b/>
          <w:i w:val="0"/>
          <w:color w:val="1C4076"/>
          <w:sz w:val="28"/>
        </w:rPr>
        <w:t>Electronic communication</w:t>
      </w:r>
    </w:p>
    <w:p>
      <w:pPr>
        <w:spacing w:after="200"/>
        <w:ind w:left="708" w:hanging="708"/>
        <w:jc w:val="both"/>
      </w:pPr>
      <w:r>
        <w:rPr>
          <w:rFonts w:ascii="Avenir Next LT Pro" w:hAnsi="Avenir Next LT Pro"/>
          <w:b w:val="0"/>
          <w:i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ind w:left="708" w:hanging="708"/>
        <w:jc w:val="both"/>
      </w:pPr>
      <w:r>
        <w:rPr>
          <w:rFonts w:ascii="Avenir Next LT Pro" w:hAnsi="Avenir Next LT Pro"/>
          <w:b w:val="0"/>
          <w:i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ind w:left="708" w:hanging="708"/>
        <w:jc w:val="both"/>
      </w:pPr>
      <w:r>
        <w:rPr>
          <w:rFonts w:ascii="Avenir Next LT Pro" w:hAnsi="Avenir Next LT Pro"/>
          <w:b w:val="0"/>
          <w:i w:val="0"/>
          <w:color w:val="1C4076"/>
          <w:sz w:val="22"/>
        </w:rPr>
        <w:t>8.3 The Company’s website contains information about system requirements and electronic communication procedures.</w:t>
      </w:r>
    </w:p>
    <w:p>
      <w:pPr>
        <w:keepNext/>
        <w:spacing w:before="260" w:after="160"/>
        <w:ind w:left="708" w:hanging="708"/>
      </w:pPr>
      <w:r>
        <w:rPr>
          <w:rFonts w:ascii="Avenir Next LT Pro" w:hAnsi="Avenir Next LT Pro"/>
          <w:b/>
          <w:i w:val="0"/>
          <w:color w:val="1C4076"/>
          <w:sz w:val="28"/>
        </w:rPr>
        <w:t>General meeting, venue and notice</w:t>
      </w:r>
    </w:p>
    <w:p>
      <w:pPr>
        <w:spacing w:after="200"/>
        <w:ind w:left="708" w:hanging="708"/>
        <w:jc w:val="both"/>
      </w:pPr>
      <w:r>
        <w:rPr>
          <w:rFonts w:ascii="Avenir Next LT Pro" w:hAnsi="Avenir Next LT Pro"/>
          <w:b w:val="0"/>
          <w:i w:val="0"/>
          <w:color w:val="1C4076"/>
          <w:sz w:val="22"/>
        </w:rPr>
        <w:t>9.1 The general meetings of the Company shall be held in the Central Denmark Region (Region Midtjylland) or in the Region of Eastern Denmark (Region Østdanmark).</w:t>
      </w:r>
    </w:p>
    <w:p>
      <w:pPr>
        <w:spacing w:after="200"/>
        <w:ind w:left="708" w:hanging="708"/>
        <w:jc w:val="both"/>
      </w:pPr>
      <w:r>
        <w:rPr>
          <w:rFonts w:ascii="Avenir Next LT Pro" w:hAnsi="Avenir Next LT Pro"/>
          <w:b w:val="0"/>
          <w:i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ind w:left="708" w:hanging="708"/>
        <w:jc w:val="both"/>
      </w:pPr>
      <w:r>
        <w:rPr>
          <w:rFonts w:ascii="Avenir Next LT Pro" w:hAnsi="Avenir Next LT Pro"/>
          <w:b w:val="0"/>
          <w:i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ind w:left="708" w:hanging="708"/>
        <w:jc w:val="both"/>
      </w:pPr>
      <w:r>
        <w:rPr>
          <w:rFonts w:ascii="Avenir Next LT Pro" w:hAnsi="Avenir Next LT Pro"/>
          <w:b w:val="0"/>
          <w:i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ind w:left="708" w:hanging="708"/>
        <w:jc w:val="both"/>
      </w:pPr>
      <w:r>
        <w:rPr>
          <w:rFonts w:ascii="Avenir Next LT Pro" w:hAnsi="Avenir Next LT Pro"/>
          <w:b w:val="0"/>
          <w:i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ind w:left="708" w:hanging="708"/>
        <w:jc w:val="both"/>
      </w:pPr>
      <w:r>
        <w:rPr>
          <w:rFonts w:ascii="Avenir Next LT Pro" w:hAnsi="Avenir Next LT Pro"/>
          <w:b w:val="0"/>
          <w:i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spacing w:after="200"/>
        <w:ind w:left="708" w:hanging="708"/>
        <w:jc w:val="both"/>
      </w:pPr>
      <w:r>
        <w:rPr>
          <w:rFonts w:ascii="Avenir Next LT Pro" w:hAnsi="Avenir Next LT Pro"/>
          <w:b w:val="0"/>
          <w:i w:val="0"/>
          <w:color w:val="1C4076"/>
          <w:sz w:val="22"/>
        </w:rPr>
        <w:t>9.7 The general meeting shall be presided over by a chairperson appointed by the Board of Directors.</w:t>
      </w:r>
    </w:p>
    <w:p>
      <w:pPr>
        <w:keepNext/>
        <w:spacing w:before="260" w:after="160"/>
        <w:ind w:left="708" w:hanging="708"/>
      </w:pPr>
      <w:r>
        <w:rPr>
          <w:rFonts w:ascii="Avenir Next LT Pro" w:hAnsi="Avenir Next LT Pro"/>
          <w:b/>
          <w:i w:val="0"/>
          <w:color w:val="1C4076"/>
          <w:sz w:val="28"/>
        </w:rPr>
        <w:t>Agenda for the annual general meeting</w:t>
      </w:r>
    </w:p>
    <w:p>
      <w:pPr>
        <w:spacing w:after="200"/>
        <w:ind w:left="708" w:hanging="708"/>
        <w:jc w:val="both"/>
      </w:pPr>
      <w:r>
        <w:rPr>
          <w:rFonts w:ascii="Avenir Next LT Pro" w:hAnsi="Avenir Next LT Pro"/>
          <w:b w:val="0"/>
          <w:i w:val="0"/>
          <w:color w:val="1C4076"/>
          <w:sz w:val="22"/>
        </w:rPr>
        <w:t>10.1 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spacing w:after="200"/>
        <w:ind w:left="708" w:hanging="708"/>
        <w:jc w:val="both"/>
      </w:pPr>
      <w:r>
        <w:rPr>
          <w:rFonts w:ascii="Avenir Next LT Pro" w:hAnsi="Avenir Next LT Pro"/>
          <w:b w:val="0"/>
          <w:i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ind w:left="708" w:hanging="708"/>
      </w:pPr>
      <w:r>
        <w:rPr>
          <w:rFonts w:ascii="Avenir Next LT Pro" w:hAnsi="Avenir Next LT Pro"/>
          <w:b/>
          <w:i w:val="0"/>
          <w:color w:val="1C4076"/>
          <w:sz w:val="28"/>
        </w:rPr>
        <w:t>Shareholders’ attendance and voting rights at the general meeting</w:t>
      </w:r>
    </w:p>
    <w:p>
      <w:pPr>
        <w:spacing w:after="200"/>
        <w:ind w:left="708" w:hanging="708"/>
        <w:jc w:val="both"/>
      </w:pPr>
      <w:r>
        <w:rPr>
          <w:rFonts w:ascii="Avenir Next LT Pro" w:hAnsi="Avenir Next LT Pro"/>
          <w:b w:val="0"/>
          <w:i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ind w:left="708" w:hanging="708"/>
        <w:jc w:val="both"/>
      </w:pPr>
      <w:r>
        <w:rPr>
          <w:rFonts w:ascii="Avenir Next LT Pro" w:hAnsi="Avenir Next LT Pro"/>
          <w:b w:val="0"/>
          <w:i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ind w:left="708" w:hanging="708"/>
        <w:jc w:val="both"/>
      </w:pPr>
      <w:r>
        <w:rPr>
          <w:rFonts w:ascii="Avenir Next LT Pro" w:hAnsi="Avenir Next LT Pro"/>
          <w:b w:val="0"/>
          <w:i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ind w:left="708" w:hanging="708"/>
      </w:pPr>
      <w:r>
        <w:rPr>
          <w:rFonts w:ascii="Avenir Next LT Pro" w:hAnsi="Avenir Next LT Pro"/>
          <w:b/>
          <w:i w:val="0"/>
          <w:color w:val="1C4076"/>
          <w:sz w:val="28"/>
        </w:rPr>
        <w:t>Resolutions at general meetings</w:t>
      </w:r>
    </w:p>
    <w:p>
      <w:pPr>
        <w:spacing w:after="200"/>
        <w:ind w:left="708" w:hanging="708"/>
        <w:jc w:val="both"/>
      </w:pPr>
      <w:r>
        <w:rPr>
          <w:rFonts w:ascii="Avenir Next LT Pro" w:hAnsi="Avenir Next LT Pro"/>
          <w:b w:val="0"/>
          <w:i w:val="0"/>
          <w:color w:val="1C4076"/>
          <w:sz w:val="22"/>
        </w:rPr>
        <w:t>12.1 Resolutions by the general meeting shall be passed by a simple majority of votes cast unless otherwise prescribed by law or by these Articles of Association.</w:t>
      </w:r>
    </w:p>
    <w:p>
      <w:pPr>
        <w:keepNext/>
        <w:spacing w:before="260" w:after="160"/>
        <w:ind w:left="708" w:hanging="708"/>
      </w:pPr>
      <w:r>
        <w:rPr>
          <w:rFonts w:ascii="Avenir Next LT Pro" w:hAnsi="Avenir Next LT Pro"/>
          <w:b/>
          <w:i w:val="0"/>
          <w:color w:val="1C4076"/>
          <w:sz w:val="28"/>
        </w:rPr>
        <w:t>Indemnification scheme</w:t>
      </w:r>
    </w:p>
    <w:p>
      <w:pPr>
        <w:spacing w:after="200"/>
        <w:ind w:left="708" w:hanging="708"/>
        <w:jc w:val="both"/>
      </w:pPr>
      <w:r>
        <w:rPr>
          <w:rFonts w:ascii="Avenir Next LT Pro" w:hAnsi="Avenir Next LT Pro"/>
          <w:b w:val="0"/>
          <w:i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ind w:left="708" w:hanging="708"/>
      </w:pPr>
      <w:r>
        <w:rPr>
          <w:rFonts w:ascii="Avenir Next LT Pro" w:hAnsi="Avenir Next LT Pro"/>
          <w:b/>
          <w:i w:val="0"/>
          <w:color w:val="1C4076"/>
          <w:sz w:val="28"/>
        </w:rPr>
        <w:t>Annual report and audit</w:t>
      </w:r>
    </w:p>
    <w:p>
      <w:pPr>
        <w:spacing w:after="200"/>
        <w:ind w:left="708" w:hanging="708"/>
        <w:jc w:val="both"/>
      </w:pPr>
      <w:r>
        <w:rPr>
          <w:rFonts w:ascii="Avenir Next LT Pro" w:hAnsi="Avenir Next LT Pro"/>
          <w:b w:val="0"/>
          <w:i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ind w:left="708" w:hanging="708"/>
      </w:pPr>
      <w:r>
        <w:rPr>
          <w:rFonts w:ascii="Avenir Next LT Pro" w:hAnsi="Avenir Next LT Pro"/>
          <w:b/>
          <w:i w:val="0"/>
          <w:color w:val="1C4076"/>
          <w:sz w:val="28"/>
        </w:rPr>
        <w:t>Financial year</w:t>
      </w:r>
    </w:p>
    <w:p>
      <w:pPr>
        <w:spacing w:after="200"/>
        <w:ind w:left="708" w:hanging="708"/>
        <w:jc w:val="both"/>
      </w:pPr>
      <w:r>
        <w:rPr>
          <w:rFonts w:ascii="Avenir Next LT Pro" w:hAnsi="Avenir Next LT Pro"/>
          <w:b w:val="0"/>
          <w:i w:val="0"/>
          <w:color w:val="1C4076"/>
          <w:sz w:val="22"/>
        </w:rPr>
        <w:t>15.1 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