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5mi7145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ind w:left="708" w:hanging="708"/>
      </w:pPr>
      <w:r>
        <w:rPr>
          <w:rFonts w:ascii="Avenir Next LT Pro" w:hAnsi="Avenir Next LT Pro"/>
          <w:b/>
          <w:i w:val="0"/>
          <w:color w:val="1C4076"/>
          <w:sz w:val="28"/>
        </w:rPr>
        <w:t>1 Introduction</w:t>
      </w:r>
    </w:p>
    <w:p>
      <w:pPr>
        <w:spacing w:after="200"/>
        <w:ind w:left="708" w:hanging="708"/>
        <w:jc w:val="both"/>
      </w:pPr>
      <w:r>
        <w:rPr>
          <w:rFonts w:ascii="Avenir Next LT Pro" w:hAnsi="Avenir Next LT Pro"/>
          <w:b w:val="0"/>
          <w:i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ind w:left="708" w:hanging="708"/>
        <w:jc w:val="both"/>
      </w:pPr>
      <w:r>
        <w:rPr>
          <w:rFonts w:ascii="Avenir Next LT Pro" w:hAnsi="Avenir Next LT Pro"/>
          <w:b w:val="0"/>
          <w:i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ind w:left="708" w:hanging="708"/>
      </w:pPr>
      <w:r>
        <w:rPr>
          <w:rFonts w:ascii="Avenir Next LT Pro" w:hAnsi="Avenir Next LT Pro"/>
          <w:b/>
          <w:i w:val="0"/>
          <w:color w:val="1C4076"/>
          <w:sz w:val="28"/>
        </w:rPr>
        <w:t>2 Objectives</w:t>
      </w:r>
    </w:p>
    <w:p>
      <w:pPr>
        <w:spacing w:after="200"/>
        <w:ind w:left="708" w:hanging="708"/>
        <w:jc w:val="both"/>
      </w:pPr>
      <w:r>
        <w:rPr>
          <w:rFonts w:ascii="Avenir Next LT Pro" w:hAnsi="Avenir Next LT Pro"/>
          <w:b w:val="0"/>
          <w:i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ind w:left="708" w:hanging="708"/>
        <w:jc w:val="both"/>
      </w:pPr>
      <w:r>
        <w:rPr>
          <w:rFonts w:ascii="Avenir Next LT Pro" w:hAnsi="Avenir Next LT Pro"/>
          <w:b w:val="0"/>
          <w:i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ind w:left="708" w:hanging="708"/>
      </w:pPr>
      <w:r>
        <w:rPr>
          <w:rFonts w:ascii="Avenir Next LT Pro" w:hAnsi="Avenir Next LT Pro"/>
          <w:b/>
          <w:i w:val="0"/>
          <w:color w:val="1C4076"/>
          <w:sz w:val="28"/>
        </w:rPr>
        <w:t>3 Remuneration of the members of the Board of Directors</w:t>
      </w:r>
    </w:p>
    <w:p>
      <w:pPr>
        <w:spacing w:after="20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ind w:left="708" w:hanging="708"/>
        <w:jc w:val="both"/>
      </w:pPr>
      <w:r>
        <w:rPr>
          <w:rFonts w:ascii="Avenir Next LT Pro" w:hAnsi="Avenir Next LT Pro"/>
          <w:b w:val="0"/>
          <w:i w:val="0"/>
          <w:color w:val="1C4076"/>
          <w:sz w:val="22"/>
        </w:rPr>
        <w:t>3.1 Fixed fee</w:t>
      </w:r>
    </w:p>
    <w:p>
      <w:pPr>
        <w:spacing w:after="200"/>
        <w:ind w:left="70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spacing w:after="200"/>
        <w:ind w:left="708" w:hanging="708"/>
        <w:jc w:val="both"/>
      </w:pPr>
      <w:r>
        <w:rPr>
          <w:rFonts w:ascii="Avenir Next LT Pro" w:hAnsi="Avenir Next LT Pro"/>
          <w:b w:val="0"/>
          <w:i w:val="0"/>
          <w:color w:val="1C4076"/>
          <w:sz w:val="22"/>
        </w:rPr>
        <w:t>3.2 Incentive pay</w:t>
      </w:r>
    </w:p>
    <w:p>
      <w:pPr>
        <w:spacing w:after="200"/>
        <w:ind w:left="708" w:firstLine="0"/>
        <w:jc w:val="both"/>
      </w:pPr>
      <w:r>
        <w:rPr>
          <w:rFonts w:ascii="Avenir Next LT Pro" w:hAnsi="Avenir Next LT Pro"/>
          <w:b w:val="0"/>
          <w:i w:val="0"/>
          <w:color w:val="1C4076"/>
          <w:sz w:val="22"/>
        </w:rPr>
        <w:t>The Board of Directors shall not receive any incentive pay from the Company.</w:t>
      </w:r>
    </w:p>
    <w:p>
      <w:pPr>
        <w:spacing w:after="200"/>
        <w:ind w:left="708" w:hanging="708"/>
        <w:jc w:val="both"/>
      </w:pPr>
      <w:r>
        <w:rPr>
          <w:rFonts w:ascii="Avenir Next LT Pro" w:hAnsi="Avenir Next LT Pro"/>
          <w:b w:val="0"/>
          <w:i w:val="0"/>
          <w:color w:val="1C4076"/>
          <w:sz w:val="22"/>
        </w:rPr>
        <w:t>3.3 Ad-hoc tasks</w:t>
      </w:r>
    </w:p>
    <w:p>
      <w:pPr>
        <w:spacing w:after="200"/>
        <w:ind w:left="70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ind w:left="708" w:hanging="708"/>
        <w:jc w:val="both"/>
      </w:pPr>
      <w:r>
        <w:rPr>
          <w:rFonts w:ascii="Avenir Next LT Pro" w:hAnsi="Avenir Next LT Pro"/>
          <w:b w:val="0"/>
          <w:i w:val="0"/>
          <w:color w:val="1C4076"/>
          <w:sz w:val="22"/>
        </w:rPr>
        <w:t>3.4 Benefits and reimbursement of expenses</w:t>
      </w:r>
    </w:p>
    <w:p>
      <w:pPr>
        <w:spacing w:after="200"/>
        <w:ind w:left="70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0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spacing w:after="200"/>
        <w:ind w:left="708" w:hanging="708"/>
        <w:jc w:val="both"/>
      </w:pPr>
      <w:r>
        <w:rPr>
          <w:rFonts w:ascii="Avenir Next LT Pro" w:hAnsi="Avenir Next LT Pro"/>
          <w:b w:val="0"/>
          <w:i w:val="0"/>
          <w:color w:val="1C4076"/>
          <w:sz w:val="22"/>
        </w:rPr>
        <w:t>3.5 Term</w:t>
      </w:r>
    </w:p>
    <w:p>
      <w:pPr>
        <w:spacing w:after="200"/>
        <w:ind w:left="70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ind w:left="708" w:hanging="708"/>
      </w:pPr>
      <w:r>
        <w:rPr>
          <w:rFonts w:ascii="Avenir Next LT Pro" w:hAnsi="Avenir Next LT Pro"/>
          <w:b/>
          <w:i w:val="0"/>
          <w:color w:val="1C4076"/>
          <w:sz w:val="28"/>
        </w:rPr>
        <w:t>4 Remuneration of Executive Management</w:t>
      </w:r>
    </w:p>
    <w:p>
      <w:pPr>
        <w:spacing w:after="20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ind w:left="708" w:hanging="708"/>
        <w:jc w:val="both"/>
      </w:pPr>
      <w:r>
        <w:rPr>
          <w:rFonts w:ascii="Avenir Next LT Pro" w:hAnsi="Avenir Next LT Pro"/>
          <w:b w:val="0"/>
          <w:i w:val="0"/>
          <w:color w:val="1C4076"/>
          <w:sz w:val="22"/>
        </w:rPr>
        <w:t>4.1 Fixed pay</w:t>
      </w:r>
    </w:p>
    <w:p>
      <w:pPr>
        <w:spacing w:after="200"/>
        <w:ind w:left="70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spacing w:after="200"/>
        <w:ind w:left="708" w:hanging="708"/>
        <w:jc w:val="both"/>
      </w:pPr>
      <w:r>
        <w:rPr>
          <w:rFonts w:ascii="Avenir Next LT Pro" w:hAnsi="Avenir Next LT Pro"/>
          <w:b w:val="0"/>
          <w:i w:val="0"/>
          <w:color w:val="1C4076"/>
          <w:sz w:val="22"/>
        </w:rPr>
        <w:t>4.2 Pension and benefits</w:t>
      </w:r>
    </w:p>
    <w:p>
      <w:pPr>
        <w:spacing w:after="200"/>
        <w:ind w:left="708" w:hanging="708"/>
        <w:jc w:val="both"/>
      </w:pPr>
      <w:r>
        <w:rPr>
          <w:rFonts w:ascii="Avenir Next LT Pro" w:hAnsi="Avenir Next LT Pro"/>
          <w:b w:val="0"/>
          <w:i w:val="0"/>
          <w:color w:val="1C4076"/>
          <w:sz w:val="22"/>
        </w:rPr>
        <w:t>4.2.1 Pension</w:t>
      </w:r>
    </w:p>
    <w:p>
      <w:pPr>
        <w:spacing w:after="200"/>
        <w:ind w:left="70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ind w:left="708" w:hanging="708"/>
        <w:jc w:val="both"/>
      </w:pPr>
      <w:r>
        <w:rPr>
          <w:rFonts w:ascii="Avenir Next LT Pro" w:hAnsi="Avenir Next LT Pro"/>
          <w:b w:val="0"/>
          <w:i w:val="0"/>
          <w:color w:val="1C4076"/>
          <w:sz w:val="22"/>
        </w:rPr>
        <w:t>4.2.2 Benefits</w:t>
      </w:r>
    </w:p>
    <w:p>
      <w:pPr>
        <w:spacing w:after="200"/>
        <w:ind w:left="70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ind w:left="708" w:hanging="708"/>
        <w:jc w:val="both"/>
      </w:pPr>
      <w:r>
        <w:rPr>
          <w:rFonts w:ascii="Avenir Next LT Pro" w:hAnsi="Avenir Next LT Pro"/>
          <w:b w:val="0"/>
          <w:i w:val="0"/>
          <w:color w:val="1C4076"/>
          <w:sz w:val="22"/>
        </w:rPr>
        <w:t>4.3 Incentive pay</w:t>
      </w:r>
    </w:p>
    <w:p>
      <w:pPr>
        <w:spacing w:after="200"/>
        <w:ind w:left="708" w:hanging="708"/>
        <w:jc w:val="both"/>
      </w:pPr>
      <w:r>
        <w:rPr>
          <w:rFonts w:ascii="Avenir Next LT Pro" w:hAnsi="Avenir Next LT Pro"/>
          <w:b w:val="0"/>
          <w:i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ind w:left="708" w:hanging="708"/>
        <w:jc w:val="both"/>
      </w:pPr>
      <w:r>
        <w:rPr>
          <w:rFonts w:ascii="Avenir Next LT Pro" w:hAnsi="Avenir Next LT Pro"/>
          <w:b w:val="0"/>
          <w:i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ind w:left="708" w:hanging="708"/>
        <w:jc w:val="both"/>
      </w:pPr>
      <w:r>
        <w:rPr>
          <w:rFonts w:ascii="Avenir Next LT Pro" w:hAnsi="Avenir Next LT Pro"/>
          <w:b w:val="0"/>
          <w:i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ind w:left="708" w:hanging="708"/>
        <w:jc w:val="both"/>
      </w:pPr>
      <w:r>
        <w:rPr>
          <w:rFonts w:ascii="Avenir Next LT Pro" w:hAnsi="Avenir Next LT Pro"/>
          <w:b/>
          <w:i w:val="0"/>
          <w:color w:val="1C4076"/>
          <w:sz w:val="22"/>
        </w:rPr>
        <w:t>4.3.4 Short-term incentives</w:t>
      </w:r>
    </w:p>
    <w:p>
      <w:pPr>
        <w:spacing w:after="200"/>
        <w:ind w:left="708" w:hanging="708"/>
        <w:jc w:val="both"/>
      </w:pPr>
      <w:r>
        <w:rPr>
          <w:rFonts w:ascii="Avenir Next LT Pro" w:hAnsi="Avenir Next LT Pro"/>
          <w:b w:val="0"/>
          <w:i w:val="0"/>
          <w:color w:val="1C4076"/>
          <w:sz w:val="22"/>
        </w:rPr>
        <w:t>4.3.4.1 The short-term incentive consists of a cash-based bonus designed to incentivise and encourage the members of Executive Management to perform in alignment with the Group's short-term objectives.</w:t>
      </w:r>
    </w:p>
    <w:p>
      <w:pPr>
        <w:spacing w:after="200"/>
        <w:ind w:left="708" w:hanging="708"/>
        <w:jc w:val="both"/>
      </w:pPr>
      <w:r>
        <w:rPr>
          <w:rFonts w:ascii="Avenir Next LT Pro" w:hAnsi="Avenir Next LT Pro"/>
          <w:b w:val="0"/>
          <w:i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ind w:left="708" w:hanging="708"/>
        <w:jc w:val="both"/>
      </w:pPr>
      <w:r>
        <w:rPr>
          <w:rFonts w:ascii="Avenir Next LT Pro" w:hAnsi="Avenir Next LT Pro"/>
          <w:b w:val="0"/>
          <w:i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ind w:left="708" w:hanging="708"/>
        <w:jc w:val="both"/>
      </w:pPr>
      <w:r>
        <w:rPr>
          <w:rFonts w:ascii="Avenir Next LT Pro" w:hAnsi="Avenir Next LT Pro"/>
          <w:b w:val="0"/>
          <w:i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ind w:left="708" w:hanging="708"/>
        <w:jc w:val="both"/>
      </w:pPr>
      <w:r>
        <w:rPr>
          <w:rFonts w:ascii="Avenir Next LT Pro" w:hAnsi="Avenir Next LT Pro"/>
          <w:b w:val="0"/>
          <w:i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ind w:left="708" w:hanging="708"/>
        <w:jc w:val="both"/>
      </w:pPr>
      <w:r>
        <w:rPr>
          <w:rFonts w:ascii="Avenir Next LT Pro" w:hAnsi="Avenir Next LT Pro"/>
          <w:b/>
          <w:i w:val="0"/>
          <w:color w:val="1C4076"/>
          <w:sz w:val="22"/>
        </w:rPr>
        <w:t>4.3.5 Long-term incentives</w:t>
      </w:r>
    </w:p>
    <w:p>
      <w:pPr>
        <w:spacing w:after="200"/>
        <w:ind w:left="708" w:hanging="708"/>
        <w:jc w:val="both"/>
      </w:pPr>
      <w:r>
        <w:rPr>
          <w:rFonts w:ascii="Avenir Next LT Pro" w:hAnsi="Avenir Next LT Pro"/>
          <w:b w:val="0"/>
          <w:i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ind w:left="708" w:hanging="708"/>
        <w:jc w:val="both"/>
      </w:pPr>
      <w:r>
        <w:rPr>
          <w:rFonts w:ascii="Avenir Next LT Pro" w:hAnsi="Avenir Next LT Pro"/>
          <w:b w:val="0"/>
          <w:i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ind w:left="708" w:hanging="708"/>
        <w:jc w:val="both"/>
      </w:pPr>
      <w:r>
        <w:rPr>
          <w:rFonts w:ascii="Avenir Next LT Pro" w:hAnsi="Avenir Next LT Pro"/>
          <w:b w:val="0"/>
          <w:i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ind w:left="708" w:hanging="708"/>
        <w:jc w:val="both"/>
      </w:pPr>
      <w:r>
        <w:rPr>
          <w:rFonts w:ascii="Avenir Next LT Pro" w:hAnsi="Avenir Next LT Pro"/>
          <w:b w:val="0"/>
          <w:i/>
          <w:color w:val="1C4076"/>
          <w:sz w:val="22"/>
        </w:rPr>
        <w:t>4.3.5.4 Cash-based long-term incentive</w:t>
      </w:r>
    </w:p>
    <w:p>
      <w:pPr>
        <w:spacing w:after="80"/>
        <w:ind w:left="576" w:hanging="360"/>
      </w:pPr>
      <w:r>
        <w:rPr>
          <w:rFonts w:ascii="Avenir Next LT Pro" w:hAnsi="Avenir Next LT Pro"/>
          <w:b w:val="0"/>
          <w:i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80"/>
        <w:ind w:left="576" w:hanging="360"/>
      </w:pPr>
      <w:r>
        <w:rPr>
          <w:rFonts w:ascii="Avenir Next LT Pro" w:hAnsi="Avenir Next LT Pro"/>
          <w:b w:val="0"/>
          <w:i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80"/>
        <w:ind w:left="576" w:hanging="360"/>
      </w:pPr>
      <w:r>
        <w:rPr>
          <w:rFonts w:ascii="Avenir Next LT Pro" w:hAnsi="Avenir Next LT Pro"/>
          <w:b w:val="0"/>
          <w:i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80"/>
        <w:ind w:left="576" w:hanging="360"/>
      </w:pPr>
      <w:r>
        <w:rPr>
          <w:rFonts w:ascii="Avenir Next LT Pro" w:hAnsi="Avenir Next LT Pro"/>
          <w:b w:val="0"/>
          <w:i w:val="0"/>
          <w:color w:val="1C4076"/>
          <w:sz w:val="22"/>
        </w:rPr>
        <w:t>(d) The long-term cash-based incentive payout will generally be made following the Board of Directors’ approval of the annual report for the last financial year of the three year performance period.</w:t>
      </w:r>
    </w:p>
    <w:p>
      <w:pPr>
        <w:spacing w:after="200"/>
        <w:ind w:left="708" w:hanging="708"/>
        <w:jc w:val="both"/>
      </w:pPr>
      <w:r>
        <w:rPr>
          <w:rFonts w:ascii="Avenir Next LT Pro" w:hAnsi="Avenir Next LT Pro"/>
          <w:b w:val="0"/>
          <w:i/>
          <w:color w:val="1C4076"/>
          <w:sz w:val="22"/>
        </w:rPr>
        <w:t>4.3.5.5  Share based long-term incentives</w:t>
      </w:r>
    </w:p>
    <w:p>
      <w:pPr>
        <w:spacing w:after="80"/>
        <w:ind w:left="576" w:hanging="360"/>
      </w:pPr>
      <w:r>
        <w:rPr>
          <w:rFonts w:ascii="Avenir Next LT Pro" w:hAnsi="Avenir Next LT Pro"/>
          <w:b w:val="0"/>
          <w:i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80"/>
        <w:ind w:left="576" w:hanging="360"/>
      </w:pPr>
      <w:r>
        <w:rPr>
          <w:rFonts w:ascii="Avenir Next LT Pro" w:hAnsi="Avenir Next LT Pro"/>
          <w:b w:val="0"/>
          <w:i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80"/>
        <w:ind w:left="576" w:hanging="360"/>
      </w:pPr>
      <w:r>
        <w:rPr>
          <w:rFonts w:ascii="Avenir Next LT Pro" w:hAnsi="Avenir Next LT Pro"/>
          <w:b w:val="0"/>
          <w:i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80"/>
        <w:ind w:left="576" w:hanging="360"/>
      </w:pPr>
      <w:r>
        <w:rPr>
          <w:rFonts w:ascii="Avenir Next LT Pro" w:hAnsi="Avenir Next LT Pro"/>
          <w:b w:val="0"/>
          <w:i w:val="0"/>
          <w:color w:val="1C4076"/>
          <w:sz w:val="22"/>
        </w:rPr>
        <w:t>(d) The Company intends to use treasury shares to meet its obligations in relation to long-term share-based incentives. The Board of Directors may decide to satisfy a grant in cash if deemed appropriate.</w:t>
      </w:r>
    </w:p>
    <w:p>
      <w:pPr>
        <w:spacing w:after="80"/>
        <w:ind w:left="576" w:hanging="360"/>
      </w:pPr>
      <w:r>
        <w:rPr>
          <w:rFonts w:ascii="Avenir Next LT Pro" w:hAnsi="Avenir Next LT Pro"/>
          <w:b w:val="0"/>
          <w:i w:val="0"/>
          <w:color w:val="1C4076"/>
          <w:sz w:val="22"/>
        </w:rPr>
        <w:t>(e) In line with market practice, share-based incentives shall be subject to good leaver and bad leaver provisions.</w:t>
      </w:r>
    </w:p>
    <w:p>
      <w:pPr>
        <w:spacing w:after="200"/>
        <w:ind w:left="708" w:hanging="708"/>
        <w:jc w:val="both"/>
      </w:pPr>
      <w:r>
        <w:rPr>
          <w:rFonts w:ascii="Avenir Next LT Pro" w:hAnsi="Avenir Next LT Pro"/>
          <w:b w:val="0"/>
          <w:i w:val="0"/>
          <w:color w:val="1C4076"/>
          <w:sz w:val="22"/>
        </w:rPr>
        <w:t>4.3.6 Adjustment and repayment of incentive-based remuneration</w:t>
      </w:r>
    </w:p>
    <w:p>
      <w:pPr>
        <w:spacing w:after="200"/>
        <w:ind w:left="708" w:hanging="708"/>
        <w:jc w:val="both"/>
      </w:pPr>
      <w:r>
        <w:rPr>
          <w:rFonts w:ascii="Avenir Next LT Pro" w:hAnsi="Avenir Next LT Pro"/>
          <w:b w:val="0"/>
          <w:i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ind w:left="708" w:hanging="708"/>
        <w:jc w:val="both"/>
      </w:pPr>
      <w:r>
        <w:rPr>
          <w:rFonts w:ascii="Avenir Next LT Pro" w:hAnsi="Avenir Next LT Pro"/>
          <w:b w:val="0"/>
          <w:i w:val="0"/>
          <w:color w:val="1C4076"/>
          <w:sz w:val="22"/>
        </w:rPr>
        <w:t>4.3.7 Extraordinary incentives</w:t>
      </w:r>
    </w:p>
    <w:p>
      <w:pPr>
        <w:spacing w:after="200"/>
        <w:ind w:left="708" w:hanging="708"/>
        <w:jc w:val="both"/>
      </w:pPr>
      <w:r>
        <w:rPr>
          <w:rFonts w:ascii="Avenir Next LT Pro" w:hAnsi="Avenir Next LT Pro"/>
          <w:b w:val="0"/>
          <w:i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ind w:left="708" w:hanging="708"/>
        <w:jc w:val="both"/>
      </w:pPr>
      <w:r>
        <w:rPr>
          <w:rFonts w:ascii="Avenir Next LT Pro" w:hAnsi="Avenir Next LT Pro"/>
          <w:b w:val="0"/>
          <w:i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ind w:left="708" w:hanging="708"/>
        <w:jc w:val="both"/>
      </w:pPr>
      <w:r>
        <w:rPr>
          <w:rFonts w:ascii="Avenir Next LT Pro" w:hAnsi="Avenir Next LT Pro"/>
          <w:b w:val="0"/>
          <w:i w:val="0"/>
          <w:color w:val="1C4076"/>
          <w:sz w:val="22"/>
        </w:rPr>
        <w:t>4.3.8 Clawback</w:t>
      </w:r>
    </w:p>
    <w:p>
      <w:pPr>
        <w:spacing w:after="200"/>
        <w:ind w:left="708" w:hanging="708"/>
        <w:jc w:val="both"/>
      </w:pPr>
      <w:r>
        <w:rPr>
          <w:rFonts w:ascii="Avenir Next LT Pro" w:hAnsi="Avenir Next LT Pro"/>
          <w:b w:val="0"/>
          <w:i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ind w:left="708" w:hanging="708"/>
      </w:pPr>
      <w:r>
        <w:rPr>
          <w:rFonts w:ascii="Avenir Next LT Pro" w:hAnsi="Avenir Next LT Pro"/>
          <w:b/>
          <w:i w:val="0"/>
          <w:color w:val="1C4076"/>
          <w:sz w:val="28"/>
        </w:rPr>
        <w:t>5 Service agreements</w:t>
      </w:r>
    </w:p>
    <w:p>
      <w:pPr>
        <w:spacing w:after="200"/>
        <w:ind w:left="708" w:hanging="708"/>
        <w:jc w:val="both"/>
      </w:pPr>
      <w:r>
        <w:rPr>
          <w:rFonts w:ascii="Avenir Next LT Pro" w:hAnsi="Avenir Next LT Pro"/>
          <w:b w:val="0"/>
          <w:i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ind w:left="708" w:hanging="708"/>
        <w:jc w:val="both"/>
      </w:pPr>
      <w:r>
        <w:rPr>
          <w:rFonts w:ascii="Avenir Next LT Pro" w:hAnsi="Avenir Next LT Pro"/>
          <w:b w:val="0"/>
          <w:i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ind w:left="708" w:hanging="708"/>
      </w:pPr>
      <w:r>
        <w:rPr>
          <w:rFonts w:ascii="Avenir Next LT Pro" w:hAnsi="Avenir Next LT Pro"/>
          <w:b/>
          <w:i w:val="0"/>
          <w:color w:val="1C4076"/>
          <w:sz w:val="28"/>
        </w:rPr>
        <w:t>6 D&amp;O insurance and indemnification</w:t>
      </w:r>
    </w:p>
    <w:p>
      <w:pPr>
        <w:spacing w:after="200"/>
        <w:ind w:left="708" w:hanging="708"/>
        <w:jc w:val="both"/>
      </w:pPr>
      <w:r>
        <w:rPr>
          <w:rFonts w:ascii="Avenir Next LT Pro" w:hAnsi="Avenir Next LT Pro"/>
          <w:b w:val="0"/>
          <w:i w:val="0"/>
          <w:color w:val="1C4076"/>
          <w:sz w:val="22"/>
        </w:rPr>
        <w:t>6.1 The Company has taken out customary directors and officers liability insurance (D&amp;O insurance) covering the Board of Directors and the Executive Management.</w:t>
      </w:r>
    </w:p>
    <w:p>
      <w:pPr>
        <w:spacing w:after="200"/>
        <w:ind w:left="708" w:hanging="708"/>
        <w:jc w:val="both"/>
      </w:pPr>
      <w:r>
        <w:rPr>
          <w:rFonts w:ascii="Avenir Next LT Pro" w:hAnsi="Avenir Next LT Pro"/>
          <w:b w:val="0"/>
          <w:i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ind w:left="708" w:hanging="708"/>
      </w:pPr>
      <w:r>
        <w:rPr>
          <w:rFonts w:ascii="Avenir Next LT Pro" w:hAnsi="Avenir Next LT Pro"/>
          <w:b/>
          <w:i w:val="0"/>
          <w:color w:val="1C4076"/>
          <w:sz w:val="28"/>
        </w:rPr>
        <w:t>7 Deviations</w:t>
      </w:r>
    </w:p>
    <w:p>
      <w:pPr>
        <w:spacing w:after="200"/>
        <w:ind w:left="708" w:hanging="708"/>
        <w:jc w:val="both"/>
      </w:pPr>
      <w:r>
        <w:rPr>
          <w:rFonts w:ascii="Avenir Next LT Pro" w:hAnsi="Avenir Next LT Pro"/>
          <w:b w:val="0"/>
          <w:i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ind w:left="708" w:hanging="708"/>
        <w:jc w:val="both"/>
      </w:pPr>
      <w:r>
        <w:rPr>
          <w:rFonts w:ascii="Avenir Next LT Pro" w:hAnsi="Avenir Next LT Pro"/>
          <w:b w:val="0"/>
          <w:i w:val="0"/>
          <w:color w:val="1C4076"/>
          <w:sz w:val="22"/>
        </w:rPr>
        <w:t>7.2 Deviations are subject to prior approval by the Board of Directors and shall be explained in the Company’s remuneration report.</w:t>
      </w:r>
    </w:p>
    <w:p>
      <w:pPr>
        <w:keepNext/>
        <w:spacing w:before="260" w:after="160"/>
        <w:ind w:left="708" w:hanging="708"/>
      </w:pPr>
      <w:r>
        <w:rPr>
          <w:rFonts w:ascii="Avenir Next LT Pro" w:hAnsi="Avenir Next LT Pro"/>
          <w:b/>
          <w:i w:val="0"/>
          <w:color w:val="1C4076"/>
          <w:sz w:val="28"/>
        </w:rPr>
        <w:t>8 Remuneration to the Company’s other employees</w:t>
      </w:r>
    </w:p>
    <w:p>
      <w:pPr>
        <w:spacing w:after="200"/>
        <w:ind w:left="708" w:hanging="708"/>
        <w:jc w:val="both"/>
      </w:pPr>
      <w:r>
        <w:rPr>
          <w:rFonts w:ascii="Avenir Next LT Pro" w:hAnsi="Avenir Next LT Pro"/>
          <w:b w:val="0"/>
          <w:i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ind w:left="708" w:hanging="708"/>
        <w:jc w:val="both"/>
      </w:pPr>
      <w:r>
        <w:rPr>
          <w:rFonts w:ascii="Avenir Next LT Pro" w:hAnsi="Avenir Next LT Pro"/>
          <w:b w:val="0"/>
          <w:i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ind w:left="708" w:hanging="708"/>
        <w:jc w:val="both"/>
      </w:pPr>
      <w:r>
        <w:rPr>
          <w:rFonts w:ascii="Avenir Next LT Pro" w:hAnsi="Avenir Next LT Pro"/>
          <w:b w:val="0"/>
          <w:i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ind w:left="708" w:hanging="708"/>
      </w:pPr>
      <w:r>
        <w:rPr>
          <w:rFonts w:ascii="Avenir Next LT Pro" w:hAnsi="Avenir Next LT Pro"/>
          <w:b/>
          <w:i w:val="0"/>
          <w:color w:val="1C4076"/>
          <w:sz w:val="28"/>
        </w:rPr>
        <w:t>9 Approval process and conflicts of interest</w:t>
      </w:r>
    </w:p>
    <w:p>
      <w:pPr>
        <w:spacing w:after="200"/>
        <w:ind w:left="708" w:hanging="708"/>
        <w:jc w:val="both"/>
      </w:pPr>
      <w:r>
        <w:rPr>
          <w:rFonts w:ascii="Avenir Next LT Pro" w:hAnsi="Avenir Next LT Pro"/>
          <w:b w:val="0"/>
          <w:i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ind w:left="708" w:hanging="708"/>
        <w:jc w:val="both"/>
      </w:pPr>
      <w:r>
        <w:rPr>
          <w:rFonts w:ascii="Avenir Next LT Pro" w:hAnsi="Avenir Next LT Pro"/>
          <w:b w:val="0"/>
          <w:i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ind w:left="708" w:hanging="708"/>
        <w:jc w:val="both"/>
      </w:pPr>
      <w:r>
        <w:rPr>
          <w:rFonts w:ascii="Avenir Next LT Pro" w:hAnsi="Avenir Next LT Pro"/>
          <w:b w:val="0"/>
          <w:i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ind w:left="708" w:hanging="708"/>
        <w:jc w:val="both"/>
      </w:pPr>
      <w:r>
        <w:rPr>
          <w:rFonts w:ascii="Avenir Next LT Pro" w:hAnsi="Avenir Next LT Pro"/>
          <w:b w:val="0"/>
          <w:i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ind w:left="708" w:hanging="708"/>
      </w:pPr>
      <w:r>
        <w:rPr>
          <w:rFonts w:ascii="Avenir Next LT Pro" w:hAnsi="Avenir Next LT Pro"/>
          <w:b/>
          <w:i w:val="0"/>
          <w:color w:val="1C4076"/>
          <w:sz w:val="28"/>
        </w:rPr>
        <w:t>10 Remuneration report</w:t>
      </w:r>
    </w:p>
    <w:p>
      <w:pPr>
        <w:spacing w:after="200"/>
        <w:ind w:left="708" w:hanging="708"/>
        <w:jc w:val="both"/>
      </w:pPr>
      <w:r>
        <w:rPr>
          <w:rFonts w:ascii="Avenir Next LT Pro" w:hAnsi="Avenir Next LT Pro"/>
          <w:b w:val="0"/>
          <w:i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ind w:left="708" w:hanging="708"/>
      </w:pPr>
      <w:r>
        <w:rPr>
          <w:rFonts w:ascii="Avenir Next LT Pro" w:hAnsi="Avenir Next LT Pro"/>
          <w:b/>
          <w:i w:val="0"/>
          <w:color w:val="1C4076"/>
          <w:sz w:val="28"/>
        </w:rPr>
        <w:t>11 Adoption and publication</w:t>
      </w:r>
    </w:p>
    <w:p>
      <w:pPr>
        <w:spacing w:after="200"/>
        <w:ind w:left="708" w:hanging="708"/>
        <w:jc w:val="both"/>
      </w:pPr>
      <w:r>
        <w:rPr>
          <w:rFonts w:ascii="Avenir Next LT Pro" w:hAnsi="Avenir Next LT Pro"/>
          <w:b w:val="0"/>
          <w:i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