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a9uaaf9.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1.1 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1.2 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pPr>
      <w:r>
        <w:rPr>
          <w:rFonts w:ascii="Avenir Next LT Pro" w:hAnsi="Avenir Next LT Pro"/>
          <w:b/>
          <w:color w:val="1C4076"/>
          <w:sz w:val="28"/>
        </w:rPr>
        <w:t>Objectives</w:t>
      </w:r>
    </w:p>
    <w:p>
      <w:pPr>
        <w:spacing w:after="200"/>
        <w:jc w:val="both"/>
      </w:pPr>
      <w:r>
        <w:rPr>
          <w:rFonts w:ascii="Avenir Next LT Pro" w:hAnsi="Avenir Next LT Pro"/>
          <w:b w:val="0"/>
          <w:color w:val="1C4076"/>
          <w:sz w:val="22"/>
        </w:rPr>
        <w:t>2.1 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2.2 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pPr>
      <w:r>
        <w:rPr>
          <w:rFonts w:ascii="Avenir Next LT Pro" w:hAnsi="Avenir Next LT Pro"/>
          <w:b/>
          <w:color w:val="1C4076"/>
          <w:sz w:val="28"/>
        </w:rPr>
        <w:t>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3.1 Fixed fee</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val="0"/>
          <w:color w:val="1C4076"/>
          <w:sz w:val="22"/>
        </w:rPr>
        <w:t>3.2 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val="0"/>
          <w:color w:val="1C4076"/>
          <w:sz w:val="22"/>
        </w:rPr>
        <w:t>3.3 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val="0"/>
          <w:color w:val="1C4076"/>
          <w:sz w:val="22"/>
        </w:rPr>
        <w:t>3.4 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val="0"/>
          <w:color w:val="1C4076"/>
          <w:sz w:val="22"/>
        </w:rPr>
        <w:t>3.5 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pPr>
      <w:r>
        <w:rPr>
          <w:rFonts w:ascii="Avenir Next LT Pro" w:hAnsi="Avenir Next LT Pro"/>
          <w:b/>
          <w:color w:val="1C4076"/>
          <w:sz w:val="28"/>
        </w:rPr>
        <w:t>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val="0"/>
          <w:color w:val="1C4076"/>
          <w:sz w:val="22"/>
        </w:rPr>
        <w:t>4.1 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4.2 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w:t>
      </w:r>
      <w:r>
        <w:rPr>
          <w:rFonts w:ascii="Avenir Next LT Pro" w:hAnsi="Avenir Next LT Pro"/>
          <w:b/>
          <w:color w:val="1C4076"/>
          <w:sz w:val="22"/>
        </w:rPr>
        <w:t>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w:t>
      </w:r>
      <w:r>
        <w:rPr>
          <w:rFonts w:ascii="Avenir Next LT Pro" w:hAnsi="Avenir Next LT Pro"/>
          <w:b/>
          <w:color w:val="1C4076"/>
          <w:sz w:val="22"/>
        </w:rPr>
        <w:t>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spacing w:after="200"/>
        <w:jc w:val="both"/>
      </w:pPr>
      <w:r>
        <w:rPr>
          <w:rFonts w:ascii="Avenir Next LT Pro" w:hAnsi="Avenir Next LT Pro"/>
          <w:b w:val="0"/>
          <w:color w:val="1C4076"/>
          <w:sz w:val="22"/>
        </w:rPr>
        <w:t>4.3.7 Extraordinary incentives</w:t>
      </w:r>
    </w:p>
    <w:p>
      <w:pPr>
        <w:spacing w:after="200"/>
        <w:jc w:val="both"/>
      </w:pPr>
      <w:r>
        <w:rPr>
          <w:rFonts w:ascii="Avenir Next LT Pro" w:hAnsi="Avenir Next LT Pro"/>
          <w:b w:val="0"/>
          <w:color w:val="1C4076"/>
          <w:sz w:val="22"/>
        </w:rPr>
        <w:t>4.3.7.1 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spacing w:after="200"/>
        <w:jc w:val="both"/>
      </w:pPr>
      <w:r>
        <w:rPr>
          <w:rFonts w:ascii="Avenir Next LT Pro" w:hAnsi="Avenir Next LT Pro"/>
          <w:b w:val="0"/>
          <w:color w:val="1C4076"/>
          <w:sz w:val="22"/>
        </w:rPr>
        <w:t>4.3.7.2 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spacing w:after="200"/>
        <w:jc w:val="both"/>
      </w:pPr>
      <w:r>
        <w:rPr>
          <w:rFonts w:ascii="Avenir Next LT Pro" w:hAnsi="Avenir Next LT Pro"/>
          <w:b w:val="0"/>
          <w:color w:val="1C4076"/>
          <w:sz w:val="22"/>
        </w:rPr>
        <w:t>4.3.8 Clawback</w:t>
      </w:r>
    </w:p>
    <w:p>
      <w:pPr>
        <w:spacing w:after="200"/>
        <w:jc w:val="both"/>
      </w:pPr>
      <w:r>
        <w:rPr>
          <w:rFonts w:ascii="Avenir Next LT Pro" w:hAnsi="Avenir Next LT Pro"/>
          <w:b w:val="0"/>
          <w:color w:val="1C4076"/>
          <w:sz w:val="22"/>
        </w:rPr>
        <w:t>4.3.8.1 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pPr>
      <w:r>
        <w:rPr>
          <w:rFonts w:ascii="Avenir Next LT Pro" w:hAnsi="Avenir Next LT Pro"/>
          <w:b/>
          <w:color w:val="1C4076"/>
          <w:sz w:val="28"/>
        </w:rPr>
        <w:t>Service agreements</w:t>
      </w:r>
    </w:p>
    <w:p>
      <w:pPr>
        <w:spacing w:after="200"/>
        <w:jc w:val="both"/>
      </w:pPr>
      <w:r>
        <w:rPr>
          <w:rFonts w:ascii="Avenir Next LT Pro" w:hAnsi="Avenir Next LT Pro"/>
          <w:b w:val="0"/>
          <w:color w:val="1C4076"/>
          <w:sz w:val="22"/>
        </w:rPr>
        <w:t>5.1 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spacing w:after="200"/>
        <w:jc w:val="both"/>
      </w:pPr>
      <w:r>
        <w:rPr>
          <w:rFonts w:ascii="Avenir Next LT Pro" w:hAnsi="Avenir Next LT Pro"/>
          <w:b w:val="0"/>
          <w:color w:val="1C4076"/>
          <w:sz w:val="22"/>
        </w:rPr>
        <w:t>5.2 Remuneration paid to a member of the Executive Management during a notice period, including any severance payment, may not exceed two years’ remuneration, including all remuneration components.</w:t>
      </w:r>
    </w:p>
    <w:p>
      <w:pPr>
        <w:keepNext/>
        <w:spacing w:before="260" w:after="160"/>
      </w:pPr>
      <w:r>
        <w:rPr>
          <w:rFonts w:ascii="Avenir Next LT Pro" w:hAnsi="Avenir Next LT Pro"/>
          <w:b/>
          <w:color w:val="1C4076"/>
          <w:sz w:val="28"/>
        </w:rPr>
        <w:t>D&amp;O insurance and indemnification</w:t>
      </w:r>
    </w:p>
    <w:p>
      <w:pPr>
        <w:spacing w:after="200"/>
        <w:jc w:val="both"/>
      </w:pPr>
      <w:r>
        <w:rPr>
          <w:rFonts w:ascii="Avenir Next LT Pro" w:hAnsi="Avenir Next LT Pro"/>
          <w:b w:val="0"/>
          <w:color w:val="1C4076"/>
          <w:sz w:val="22"/>
        </w:rPr>
        <w:t>6.1 The Company has taken out customary directors and officers liability insurance (D&amp;O insurance) covering the Board of Directors and the Executive Management.</w:t>
      </w:r>
    </w:p>
    <w:p>
      <w:pPr>
        <w:spacing w:after="200"/>
        <w:jc w:val="both"/>
      </w:pPr>
      <w:r>
        <w:rPr>
          <w:rFonts w:ascii="Avenir Next LT Pro" w:hAnsi="Avenir Next LT Pro"/>
          <w:b w:val="0"/>
          <w:color w:val="1C4076"/>
          <w:sz w:val="22"/>
        </w:rPr>
        <w:t>6.2 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pPr>
      <w:r>
        <w:rPr>
          <w:rFonts w:ascii="Avenir Next LT Pro" w:hAnsi="Avenir Next LT Pro"/>
          <w:b/>
          <w:color w:val="1C4076"/>
          <w:sz w:val="28"/>
        </w:rPr>
        <w:t>Deviations</w:t>
      </w:r>
    </w:p>
    <w:p>
      <w:pPr>
        <w:spacing w:after="200"/>
        <w:jc w:val="both"/>
      </w:pPr>
      <w:r>
        <w:rPr>
          <w:rFonts w:ascii="Avenir Next LT Pro" w:hAnsi="Avenir Next LT Pro"/>
          <w:b w:val="0"/>
          <w:color w:val="1C4076"/>
          <w:sz w:val="22"/>
        </w:rPr>
        <w:t>7.1 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spacing w:after="200"/>
        <w:jc w:val="both"/>
      </w:pPr>
      <w:r>
        <w:rPr>
          <w:rFonts w:ascii="Avenir Next LT Pro" w:hAnsi="Avenir Next LT Pro"/>
          <w:b w:val="0"/>
          <w:color w:val="1C4076"/>
          <w:sz w:val="22"/>
        </w:rPr>
        <w:t>7.2 Deviations are subject to prior approval by the Board of Directors and shall be explained in the Company’s remuneration report.</w:t>
      </w:r>
    </w:p>
    <w:p>
      <w:pPr>
        <w:keepNext/>
        <w:spacing w:before="260" w:after="160"/>
      </w:pPr>
      <w:r>
        <w:rPr>
          <w:rFonts w:ascii="Avenir Next LT Pro" w:hAnsi="Avenir Next LT Pro"/>
          <w:b/>
          <w:color w:val="1C4076"/>
          <w:sz w:val="28"/>
        </w:rPr>
        <w:t>Remuneration to the Company’s other employees</w:t>
      </w:r>
    </w:p>
    <w:p>
      <w:pPr>
        <w:spacing w:after="200"/>
        <w:jc w:val="both"/>
      </w:pPr>
      <w:r>
        <w:rPr>
          <w:rFonts w:ascii="Avenir Next LT Pro" w:hAnsi="Avenir Next LT Pro"/>
          <w:b w:val="0"/>
          <w:color w:val="1C4076"/>
          <w:sz w:val="22"/>
        </w:rPr>
        <w:t>8.1 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spacing w:after="200"/>
        <w:jc w:val="both"/>
      </w:pPr>
      <w:r>
        <w:rPr>
          <w:rFonts w:ascii="Avenir Next LT Pro" w:hAnsi="Avenir Next LT Pro"/>
          <w:b w:val="0"/>
          <w:color w:val="1C4076"/>
          <w:sz w:val="22"/>
        </w:rPr>
        <w:t>8.2 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spacing w:after="200"/>
        <w:jc w:val="both"/>
      </w:pPr>
      <w:r>
        <w:rPr>
          <w:rFonts w:ascii="Avenir Next LT Pro" w:hAnsi="Avenir Next LT Pro"/>
          <w:b w:val="0"/>
          <w:color w:val="1C4076"/>
          <w:sz w:val="22"/>
        </w:rPr>
        <w:t>8.3 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pPr>
      <w:r>
        <w:rPr>
          <w:rFonts w:ascii="Avenir Next LT Pro" w:hAnsi="Avenir Next LT Pro"/>
          <w:b/>
          <w:color w:val="1C4076"/>
          <w:sz w:val="28"/>
        </w:rPr>
        <w:t>Approval process and conflicts of interest</w:t>
      </w:r>
    </w:p>
    <w:p>
      <w:pPr>
        <w:spacing w:after="200"/>
        <w:jc w:val="both"/>
      </w:pPr>
      <w:r>
        <w:rPr>
          <w:rFonts w:ascii="Avenir Next LT Pro" w:hAnsi="Avenir Next LT Pro"/>
          <w:b w:val="0"/>
          <w:color w:val="1C4076"/>
          <w:sz w:val="22"/>
        </w:rPr>
        <w:t>9.1 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spacing w:after="200"/>
        <w:jc w:val="both"/>
      </w:pPr>
      <w:r>
        <w:rPr>
          <w:rFonts w:ascii="Avenir Next LT Pro" w:hAnsi="Avenir Next LT Pro"/>
          <w:b w:val="0"/>
          <w:color w:val="1C4076"/>
          <w:sz w:val="22"/>
        </w:rPr>
        <w:t>9.2 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spacing w:after="200"/>
        <w:jc w:val="both"/>
      </w:pPr>
      <w:r>
        <w:rPr>
          <w:rFonts w:ascii="Avenir Next LT Pro" w:hAnsi="Avenir Next LT Pro"/>
          <w:b w:val="0"/>
          <w:color w:val="1C4076"/>
          <w:sz w:val="22"/>
        </w:rPr>
        <w:t>9.3 The Remuneration Policy will be in force for a period of four years from approval, however, the Board of Directors may submit a proposal for a revised remuneration policy to the general meeting for approval at an earlier point, if deemed necessary.</w:t>
      </w:r>
    </w:p>
    <w:p>
      <w:pPr>
        <w:spacing w:after="200"/>
        <w:jc w:val="both"/>
      </w:pPr>
      <w:r>
        <w:rPr>
          <w:rFonts w:ascii="Avenir Next LT Pro" w:hAnsi="Avenir Next LT Pro"/>
          <w:b w:val="0"/>
          <w:color w:val="1C4076"/>
          <w:sz w:val="22"/>
        </w:rPr>
        <w:t>9.4 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pPr>
      <w:r>
        <w:rPr>
          <w:rFonts w:ascii="Avenir Next LT Pro" w:hAnsi="Avenir Next LT Pro"/>
          <w:b/>
          <w:color w:val="1C4076"/>
          <w:sz w:val="28"/>
        </w:rPr>
        <w:t>Remuneration report</w:t>
      </w:r>
    </w:p>
    <w:p>
      <w:pPr>
        <w:spacing w:after="200"/>
        <w:jc w:val="both"/>
      </w:pPr>
      <w:r>
        <w:rPr>
          <w:rFonts w:ascii="Avenir Next LT Pro" w:hAnsi="Avenir Next LT Pro"/>
          <w:b w:val="0"/>
          <w:color w:val="1C4076"/>
          <w:sz w:val="22"/>
        </w:rPr>
        <w:t>10.1 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pPr>
      <w:r>
        <w:rPr>
          <w:rFonts w:ascii="Avenir Next LT Pro" w:hAnsi="Avenir Next LT Pro"/>
          <w:b/>
          <w:color w:val="1C4076"/>
          <w:sz w:val="28"/>
        </w:rPr>
        <w:t>Adoption and publication</w:t>
      </w:r>
    </w:p>
    <w:p>
      <w:pPr>
        <w:spacing w:after="200"/>
        <w:jc w:val="both"/>
      </w:pPr>
      <w:r>
        <w:rPr>
          <w:rFonts w:ascii="Avenir Next LT Pro" w:hAnsi="Avenir Next LT Pro"/>
          <w:b w:val="0"/>
          <w:color w:val="1C4076"/>
          <w:sz w:val="22"/>
        </w:rPr>
        <w:t>11.1 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