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Remuneration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120" w:after="80"/>
      </w:pPr>
      <w:r>
        <w:rPr>
          <w:rFonts w:ascii="Avenir Next LT Pro" w:hAnsi="Avenir Next LT Pro"/>
          <w:b/>
          <w:color w:val="1C4076"/>
          <w:sz w:val="24"/>
        </w:rPr>
        <w:t>Objectives</w:t>
      </w:r>
    </w:p>
    <w:p>
      <w:pPr>
        <w:spacing w:after="200"/>
        <w:jc w:val="both"/>
      </w:pPr>
      <w:r>
        <w:rPr>
          <w:rFonts w:ascii="Avenir Next LT Pro" w:hAnsi="Avenir Next LT Pro"/>
          <w:b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120" w:after="80"/>
      </w:pPr>
      <w:r>
        <w:rPr>
          <w:rFonts w:ascii="Avenir Next LT Pro" w:hAnsi="Avenir Next LT Pro"/>
          <w:b/>
          <w:color w:val="1C4076"/>
          <w:sz w:val="24"/>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C4076"/>
          </w:tcPr>
          <w:p>
            <w:r/>
            <w:r>
              <w:rPr>
                <w:rFonts w:ascii="Avenir Next LT Pro" w:hAnsi="Avenir Next LT Pro"/>
                <w:b/>
                <w:color w:val="FFFFFF"/>
                <w:sz w:val="17"/>
              </w:rPr>
              <w:t>Table 1: Remuneration structure of the Board of Directors – fxi ed fee multiples</w:t>
            </w:r>
          </w:p>
        </w:tc>
        <w:tc>
          <w:tcPr>
            <w:tcW w:type="dxa" w:w="2160"/>
            <w:shd w:val="clear" w:fill="1C4076"/>
          </w:tcPr>
          <w:p>
            <w:r/>
            <w:r>
              <w:rPr>
                <w:rFonts w:ascii="Avenir Next LT Pro" w:hAnsi="Avenir Next LT Pro"/>
                <w:b/>
                <w:color w:val="FFFFFF"/>
                <w:sz w:val="17"/>
              </w:rPr>
            </w:r>
          </w:p>
        </w:tc>
        <w:tc>
          <w:tcPr>
            <w:tcW w:type="dxa" w:w="2160"/>
            <w:shd w:val="clear" w:fill="1C4076"/>
          </w:tcPr>
          <w:p>
            <w:r/>
            <w:r>
              <w:rPr>
                <w:rFonts w:ascii="Avenir Next LT Pro" w:hAnsi="Avenir Next LT Pro"/>
                <w:b/>
                <w:color w:val="FFFFFF"/>
                <w:sz w:val="17"/>
              </w:rPr>
            </w:r>
          </w:p>
        </w:tc>
        <w:tc>
          <w:tcPr>
            <w:tcW w:type="dxa" w:w="2160"/>
            <w:shd w:val="clear" w:fill="1C4076"/>
          </w:tcPr>
          <w:p>
            <w:r/>
            <w:r>
              <w:rPr>
                <w:rFonts w:ascii="Avenir Next LT Pro" w:hAnsi="Avenir Next LT Pro"/>
                <w:b/>
                <w:color w:val="FFFFFF"/>
                <w:sz w:val="17"/>
              </w:rPr>
            </w:r>
          </w:p>
        </w:tc>
      </w:tr>
      <w:tr>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t>Board of Directors</w:t>
            </w:r>
          </w:p>
        </w:tc>
        <w:tc>
          <w:tcPr>
            <w:tcW w:type="dxa" w:w="2160"/>
          </w:tcPr>
          <w:p>
            <w:r/>
            <w:r>
              <w:rPr>
                <w:rFonts w:ascii="Avenir Next LT Pro" w:hAnsi="Avenir Next LT Pro"/>
                <w:b w:val="0"/>
                <w:color w:val="1C4076"/>
                <w:sz w:val="17"/>
              </w:rPr>
              <w:t>Audit Committee</w:t>
            </w:r>
          </w:p>
        </w:tc>
        <w:tc>
          <w:tcPr>
            <w:tcW w:type="dxa" w:w="2160"/>
          </w:tcPr>
          <w:p>
            <w:r/>
            <w:r>
              <w:rPr>
                <w:rFonts w:ascii="Avenir Next LT Pro" w:hAnsi="Avenir Next LT Pro"/>
                <w:b w:val="0"/>
                <w:color w:val="1C4076"/>
                <w:sz w:val="17"/>
              </w:rPr>
              <w:t>Remuneration and Nomination Committee</w:t>
            </w:r>
          </w:p>
        </w:tc>
      </w:tr>
      <w:tr>
        <w:tc>
          <w:tcPr>
            <w:tcW w:type="dxa" w:w="2160"/>
          </w:tcPr>
          <w:p>
            <w:r/>
            <w:r>
              <w:rPr>
                <w:rFonts w:ascii="Avenir Next LT Pro" w:hAnsi="Avenir Next LT Pro"/>
                <w:b w:val="0"/>
                <w:color w:val="1C4076"/>
                <w:sz w:val="17"/>
              </w:rPr>
              <w:t>Chair</w:t>
            </w:r>
          </w:p>
        </w:tc>
        <w:tc>
          <w:tcPr>
            <w:tcW w:type="dxa" w:w="2160"/>
          </w:tcPr>
          <w:p>
            <w:r/>
            <w:r>
              <w:rPr>
                <w:rFonts w:ascii="Avenir Next LT Pro" w:hAnsi="Avenir Next LT Pro"/>
                <w:b w:val="0"/>
                <w:color w:val="1C4076"/>
                <w:sz w:val="17"/>
              </w:rPr>
              <w:t>3x Base Fee</w:t>
            </w:r>
          </w:p>
        </w:tc>
        <w:tc>
          <w:tcPr>
            <w:tcW w:type="dxa" w:w="2160"/>
          </w:tcPr>
          <w:p>
            <w:r/>
            <w:r>
              <w:rPr>
                <w:rFonts w:ascii="Avenir Next LT Pro" w:hAnsi="Avenir Next LT Pro"/>
                <w:b w:val="0"/>
                <w:color w:val="1C4076"/>
                <w:sz w:val="17"/>
              </w:rPr>
              <w:t>Up to 0.75x Base Fee</w:t>
            </w:r>
          </w:p>
        </w:tc>
        <w:tc>
          <w:tcPr>
            <w:tcW w:type="dxa" w:w="2160"/>
          </w:tcPr>
          <w:p>
            <w:r/>
            <w:r>
              <w:rPr>
                <w:rFonts w:ascii="Avenir Next LT Pro" w:hAnsi="Avenir Next LT Pro"/>
                <w:b w:val="0"/>
                <w:color w:val="1C4076"/>
                <w:sz w:val="17"/>
              </w:rPr>
              <w:t>Up to 0.50x Base Fee</w:t>
            </w:r>
          </w:p>
        </w:tc>
      </w:tr>
      <w:tr>
        <w:tc>
          <w:tcPr>
            <w:tcW w:type="dxa" w:w="2160"/>
          </w:tcPr>
          <w:p>
            <w:r/>
            <w:r>
              <w:rPr>
                <w:rFonts w:ascii="Avenir Next LT Pro" w:hAnsi="Avenir Next LT Pro"/>
                <w:b w:val="0"/>
                <w:color w:val="1C4076"/>
                <w:sz w:val="17"/>
              </w:rPr>
              <w:t>Vice Chair</w:t>
            </w:r>
          </w:p>
        </w:tc>
        <w:tc>
          <w:tcPr>
            <w:tcW w:type="dxa" w:w="2160"/>
          </w:tcPr>
          <w:p>
            <w:r/>
            <w:r>
              <w:rPr>
                <w:rFonts w:ascii="Avenir Next LT Pro" w:hAnsi="Avenir Next LT Pro"/>
                <w:b w:val="0"/>
                <w:color w:val="1C4076"/>
                <w:sz w:val="17"/>
              </w:rPr>
              <w:t>1.5x Base Fee</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t>—</w:t>
            </w:r>
          </w:p>
        </w:tc>
      </w:tr>
      <w:tr>
        <w:tc>
          <w:tcPr>
            <w:tcW w:type="dxa" w:w="2160"/>
          </w:tcPr>
          <w:p>
            <w:r/>
            <w:r>
              <w:rPr>
                <w:rFonts w:ascii="Avenir Next LT Pro" w:hAnsi="Avenir Next LT Pro"/>
                <w:b w:val="0"/>
                <w:color w:val="1C4076"/>
                <w:sz w:val="17"/>
              </w:rPr>
              <w:t>Member</w:t>
            </w:r>
          </w:p>
        </w:tc>
        <w:tc>
          <w:tcPr>
            <w:tcW w:type="dxa" w:w="2160"/>
          </w:tcPr>
          <w:p>
            <w:r/>
            <w:r>
              <w:rPr>
                <w:rFonts w:ascii="Avenir Next LT Pro" w:hAnsi="Avenir Next LT Pro"/>
                <w:b w:val="0"/>
                <w:color w:val="1C4076"/>
                <w:sz w:val="17"/>
              </w:rPr>
              <w:t>1x Base Fee</w:t>
            </w:r>
          </w:p>
        </w:tc>
        <w:tc>
          <w:tcPr>
            <w:tcW w:type="dxa" w:w="2160"/>
          </w:tcPr>
          <w:p>
            <w:r/>
            <w:r>
              <w:rPr>
                <w:rFonts w:ascii="Avenir Next LT Pro" w:hAnsi="Avenir Next LT Pro"/>
                <w:b w:val="0"/>
                <w:color w:val="1C4076"/>
                <w:sz w:val="17"/>
              </w:rPr>
              <w:t>Up to 0.50x Base Fee</w:t>
            </w:r>
          </w:p>
        </w:tc>
        <w:tc>
          <w:tcPr>
            <w:tcW w:type="dxa" w:w="2160"/>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color w:val="1C4076"/>
          <w:sz w:val="22"/>
        </w:rPr>
        <w:t>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color w:val="1C4076"/>
          <w:sz w:val="22"/>
        </w:rPr>
        <w:t>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color w:val="1C4076"/>
          <w:sz w:val="22"/>
        </w:rPr>
        <w:t>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color w:val="1C4076"/>
          <w:sz w:val="22"/>
        </w:rPr>
        <w:t>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120" w:after="80"/>
      </w:pPr>
      <w:r>
        <w:rPr>
          <w:rFonts w:ascii="Avenir Next LT Pro" w:hAnsi="Avenir Next LT Pro"/>
          <w:b/>
          <w:color w:val="1C4076"/>
          <w:sz w:val="24"/>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color w:val="1C4076"/>
          <w:sz w:val="22"/>
        </w:rPr>
        <w:t>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 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Remuneration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