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Code of Conduct for Suppliers</w:t>
      </w:r>
    </w:p>
    <w:p>
      <w:r>
        <w:rPr>
          <w:b/>
        </w:rP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r>
        <w:rPr>
          <w:b/>
        </w:rP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r>
        <w:t>The BioMar Code of Conduct for Suppliers sets out requirements within below areas corresponding with our fundamental principles of responsible sourcing:</w:t>
      </w:r>
    </w:p>
    <w:p>
      <w:pPr>
        <w:pStyle w:val="ListBullet"/>
      </w:pPr>
      <w:r>
        <w:t>Conduct business lawfully and with integrity</w:t>
      </w:r>
    </w:p>
    <w:p>
      <w:pPr>
        <w:pStyle w:val="ListBullet"/>
      </w:pPr>
      <w:r>
        <w:t>Ensure product quality and food safety</w:t>
      </w:r>
    </w:p>
    <w:p>
      <w:pPr>
        <w:pStyle w:val="ListBullet"/>
      </w:pPr>
      <w:r>
        <w:t>Protect natural resources</w:t>
      </w:r>
    </w:p>
    <w:p>
      <w:pPr>
        <w:pStyle w:val="ListBullet"/>
      </w:pPr>
      <w:r>
        <w:t>Uphold human and labour rights</w:t>
      </w:r>
    </w:p>
    <w:p>
      <w: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r>
        <w:t>All suppliers must declare compliance with the BioMar Code of Conduct for Suppliers. BioMar must be informed immediately if any material change(s) in compliance occur, and suppliers must communicate an equivalent set of requirements to their suppliers.</w:t>
      </w:r>
    </w:p>
    <w:p>
      <w:r>
        <w:t>BioMar shall be permitted to and will regularly audit compliance with the requirements set out in the Code of Conduct for Suppliers.</w:t>
      </w:r>
    </w:p>
    <w:tbl>
      <w:tblPr>
        <w:tblW w:type="auto" w:w="0"/>
        <w:tblLook w:firstColumn="1" w:firstRow="1" w:lastColumn="0" w:lastRow="0" w:noHBand="0" w:noVBand="1" w:val="04A0"/>
      </w:tblPr>
      <w:tblGrid>
        <w:gridCol w:w="4320"/>
        <w:gridCol w:w="4320"/>
      </w:tblGrid>
      <w:tr>
        <w:tc>
          <w:tcPr>
            <w:tcW w:type="dxa" w:w="4320"/>
          </w:tcPr>
          <w:p>
            <w:pPr>
              <w:pStyle w:val="Heading1"/>
            </w:pPr>
            <w:r>
              <w:t>Conduct Business Lawfully and with Integrity</w:t>
            </w:r>
          </w:p>
          <w:p>
            <w: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pPr>
              <w:pStyle w:val="Heading1"/>
            </w:pPr>
            <w:r>
              <w:t>Ensure Product Quality and Food Safety</w:t>
            </w:r>
          </w:p>
          <w:p>
            <w:r>
              <w:t>Suppliers must be in regulatory compliance with local food safety regulations in the country of production and the country of destination. In the absence of local regulatory framework, it is recommended to follow EU regulations as reference.</w:t>
            </w:r>
          </w:p>
          <w:p>
            <w: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r>
              <w:t>Suppliers of processed ingredients must have implemented the principles of Good Manufacturing Practices (GMP) and Hazard Analysis (HACCP), and</w:t>
            </w:r>
          </w:p>
        </w:tc>
        <w:tc>
          <w:tcPr>
            <w:tcW w:type="dxa" w:w="4320"/>
          </w:tcPr>
          <w:p>
            <w: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pPr>
              <w:pStyle w:val="Heading1"/>
            </w:pPr>
            <w:r>
              <w:t>Protect Natural Resources</w:t>
            </w:r>
          </w:p>
          <w:p>
            <w: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r>
              <w:rPr>
                <w:b/>
              </w:rPr>
              <w:t xml:space="preserve">Community engagement and indigenous people </w:t>
            </w:r>
            <w:r>
              <w:rPr>
                <w:b w:val="0"/>
              </w:rPr>
              <w:t>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tc>
      </w:tr>
    </w:tbl>
    <w:p/>
    <w:tbl>
      <w:tblPr>
        <w:tblW w:type="auto" w:w="0"/>
        <w:tblLook w:firstColumn="1" w:firstRow="1" w:lastColumn="0" w:lastRow="0" w:noHBand="0" w:noVBand="1" w:val="04A0"/>
      </w:tblPr>
      <w:tblGrid>
        <w:gridCol w:w="4320"/>
        <w:gridCol w:w="4320"/>
      </w:tblGrid>
      <w:tr>
        <w:tc>
          <w:tcPr>
            <w:tcW w:type="dxa" w:w="4320"/>
          </w:tcPr>
          <w:p>
            <w:r>
              <w:t>rights. Suppliers shall, to the extent possible, source goods and services, including employment, from local communities, indigenous, and tribal people.</w:t>
            </w:r>
          </w:p>
          <w:p>
            <w:r>
              <w:rPr>
                <w:b/>
              </w:rPr>
              <w:t xml:space="preserve">Greenhouse Gas and Energy Management </w:t>
            </w:r>
            <w:r>
              <w:rPr>
                <w:b w:val="0"/>
              </w:rPr>
              <w:t>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r>
              <w:rPr>
                <w:b/>
              </w:rPr>
              <w:t xml:space="preserve">Water, Waste, and Effluent Management </w:t>
            </w:r>
            <w:r>
              <w:rPr>
                <w:b w:val="0"/>
              </w:rPr>
              <w:t>Suppliers must identify all sources of water used, all types of waste generated (hazardous and</w:t>
            </w:r>
          </w:p>
        </w:tc>
        <w:tc>
          <w:tcPr>
            <w:tcW w:type="dxa" w:w="4320"/>
          </w:tcPr>
          <w:p>
            <w: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pStyle w:val="Heading1"/>
            </w:pPr>
            <w:r>
              <w:t>Uphold Human and Labour Rights</w:t>
            </w:r>
          </w:p>
          <w:p>
            <w:r>
              <w:t>Respecting and promoting human rights is essential for living our purpose in BioMar and we believe that all human beings should be met and treated with dignity and respect. We are committed to upholding</w:t>
            </w:r>
          </w:p>
        </w:tc>
      </w:tr>
    </w:tbl>
    <w:p/>
    <w:tbl>
      <w:tblPr>
        <w:tblW w:type="auto" w:w="0"/>
        <w:tblLook w:firstColumn="1" w:firstRow="1" w:lastColumn="0" w:lastRow="0" w:noHBand="0" w:noVBand="1" w:val="04A0"/>
      </w:tblPr>
      <w:tblGrid>
        <w:gridCol w:w="4320"/>
        <w:gridCol w:w="4320"/>
      </w:tblGrid>
      <w:tr>
        <w:tc>
          <w:tcPr>
            <w:tcW w:type="dxa" w:w="4320"/>
          </w:tcPr>
          <w:p>
            <w:r>
              <w:t>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r>
              <w:rPr>
                <w:b/>
              </w:rPr>
              <w:t xml:space="preserve">Health and Safety </w:t>
            </w:r>
            <w:r>
              <w:rPr>
                <w:b w:val="0"/>
              </w:rPr>
              <w:t>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r>
              <w:t>Adequate First Aid (including supplies) must be provided and administered by qualified personnel in the event of a work-related injury; this includes access to professional support such as an ambulance.</w:t>
            </w:r>
          </w:p>
        </w:tc>
        <w:tc>
          <w:tcPr>
            <w:tcW w:type="dxa" w:w="4320"/>
          </w:tcPr>
          <w:p>
            <w: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r>
              <w:t>Designated area to prepare food and eat during breaks must be accessible. If employer-operated stores and services are available, purchase from these is not required and cost is reasonable with no profit gained of employees.</w:t>
            </w:r>
          </w:p>
          <w:p>
            <w:r>
              <w:t>Suitable areas for breast feeding women must be available and additional workday breaks for pregnant and breast-feeding women shall be allowed; nursing breaks shall be counted as working time and remunerated accordingly.</w:t>
            </w:r>
          </w:p>
          <w:p>
            <w:r>
              <w:rPr>
                <w:b/>
              </w:rPr>
              <w:t xml:space="preserve">Employment Practices </w:t>
            </w:r>
            <w:r>
              <w:rPr>
                <w:b w:val="0"/>
              </w:rPr>
              <w:t>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r>
              <w:t>¹ See ”Definition list” for description of “UN’s UDHR”, “UNCRC”, “ILO”, “ETI”, and “WHO”</w:t>
            </w:r>
          </w:p>
        </w:tc>
      </w:tr>
    </w:tbl>
    <w:p/>
    <w:tbl>
      <w:tblPr>
        <w:tblW w:type="auto" w:w="0"/>
        <w:tblLook w:firstColumn="1" w:firstRow="1" w:lastColumn="0" w:lastRow="0" w:noHBand="0" w:noVBand="1" w:val="04A0"/>
      </w:tblPr>
      <w:tblGrid>
        <w:gridCol w:w="4320"/>
        <w:gridCol w:w="4320"/>
      </w:tblGrid>
      <w:tr>
        <w:tc>
          <w:tcPr>
            <w:tcW w:type="dxa" w:w="4320"/>
          </w:tcPr>
          <w:p>
            <w: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tc>
        <w:tc>
          <w:tcPr>
            <w:tcW w:type="dxa" w:w="4320"/>
          </w:tcPr>
          <w:p>
            <w:r>
              <w:t>coercion or verbal abuse of workers, shall occur. Any disciplinary procedures must be transparent and applied in a progressive and objective manner, ensuring dignity and respect towards the employee.</w:t>
            </w:r>
          </w:p>
          <w:p>
            <w: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r>
              <w:t>² Discrimination based on: Race, colour, age, gender, sexual orientation, ethnicity, disability, religion, political affiliation, nationality, caste, union membership, legal status, pregnancy, parental status, or marital status.</w:t>
            </w:r>
          </w:p>
        </w:tc>
      </w:tr>
    </w:tbl>
    <w:p/>
    <w:p>
      <w:r>
        <w:rPr>
          <w:b/>
        </w:rPr>
        <w:t>In case of any non-conformances, BioMar will demand corrective and/or preventive actions and all non-conformances will be registered for future purposes.</w:t>
      </w:r>
    </w:p>
    <w:p>
      <w:r>
        <w:t>We, the undersigned, hereby acknowledge receipt of copy of the “BioMar Code of Conduct for Suppliers”. By signing, we understand our legal obligation to comply with the “BioMar Code of Conduct for Suppliers” as part of our terms and conditions of trade with BioMar.</w:t>
      </w:r>
    </w:p>
    <w:tbl>
      <w:tblPr>
        <w:tblStyle w:val="TableGrid"/>
        <w:tblW w:type="auto" w:w="0"/>
        <w:tblLook w:firstColumn="1" w:firstRow="1" w:lastColumn="0" w:lastRow="0" w:noHBand="0" w:noVBand="1" w:val="04A0"/>
      </w:tblPr>
      <w:tblGrid>
        <w:gridCol w:w="4320"/>
        <w:gridCol w:w="4320"/>
      </w:tblGrid>
      <w:tr>
        <w:tc>
          <w:tcPr>
            <w:tcW w:type="dxa" w:w="4320"/>
          </w:tcPr>
          <w:p>
            <w:r>
              <w:t>Company:</w:t>
            </w:r>
          </w:p>
        </w:tc>
        <w:tc>
          <w:tcPr>
            <w:tcW w:type="dxa" w:w="4320"/>
          </w:tcPr>
          <w:p>
            <w:r/>
          </w:p>
        </w:tc>
      </w:tr>
      <w:tr>
        <w:tc>
          <w:tcPr>
            <w:tcW w:type="dxa" w:w="4320"/>
          </w:tcPr>
          <w:p>
            <w:r>
              <w:t>Name and Position:</w:t>
            </w:r>
          </w:p>
        </w:tc>
        <w:tc>
          <w:tcPr>
            <w:tcW w:type="dxa" w:w="4320"/>
          </w:tcPr>
          <w:p>
            <w:r/>
          </w:p>
        </w:tc>
      </w:tr>
      <w:tr>
        <w:tc>
          <w:tcPr>
            <w:tcW w:type="dxa" w:w="4320"/>
          </w:tcPr>
          <w:p>
            <w:r>
              <w:t>Date:</w:t>
            </w:r>
          </w:p>
        </w:tc>
        <w:tc>
          <w:tcPr>
            <w:tcW w:type="dxa" w:w="4320"/>
          </w:tcPr>
          <w:p>
            <w:r>
              <w:t>Place:</w:t>
            </w:r>
          </w:p>
        </w:tc>
      </w:tr>
      <w:tr>
        <w:tc>
          <w:tcPr>
            <w:tcW w:type="dxa" w:w="4320"/>
          </w:tcPr>
          <w:p>
            <w:r>
              <w:t>Signature:</w:t>
            </w:r>
          </w:p>
        </w:tc>
        <w:tc>
          <w:tcPr>
            <w:tcW w:type="dxa" w:w="4320"/>
          </w:tcPr>
          <w:p>
            <w:r/>
          </w:p>
        </w:tc>
      </w:tr>
    </w:tbl>
    <w:p/>
    <w:tbl>
      <w:tblPr>
        <w:tblW w:type="auto" w:w="0"/>
        <w:tblLook w:firstColumn="1" w:firstRow="1" w:lastColumn="0" w:lastRow="0" w:noHBand="0" w:noVBand="1" w:val="04A0"/>
      </w:tblPr>
      <w:tblGrid>
        <w:gridCol w:w="4320"/>
        <w:gridCol w:w="4320"/>
      </w:tblGrid>
      <w:tr>
        <w:tc>
          <w:tcPr>
            <w:tcW w:type="dxa" w:w="4320"/>
          </w:tcPr>
          <w:p>
            <w:pPr>
              <w:pStyle w:val="Heading1"/>
            </w:pPr>
            <w:r>
              <w:t>Definition list</w:t>
            </w:r>
          </w:p>
          <w:p>
            <w:r>
              <w:rPr>
                <w:b/>
              </w:rPr>
              <w:t xml:space="preserve">EMP </w:t>
            </w:r>
            <w:r>
              <w:rPr>
                <w:b w:val="0"/>
              </w:rPr>
              <w:t>Effluent Management Plan</w:t>
            </w:r>
          </w:p>
          <w:p>
            <w:r>
              <w:rPr>
                <w:b/>
              </w:rPr>
              <w:t xml:space="preserve">ETI </w:t>
            </w:r>
            <w:r>
              <w:rPr>
                <w:b w:val="0"/>
              </w:rPr>
              <w:t>The Ethical Trading Initiative</w:t>
            </w:r>
          </w:p>
          <w:p>
            <w:r>
              <w:rPr>
                <w:b/>
              </w:rPr>
              <w:t xml:space="preserve">EU </w:t>
            </w:r>
            <w:r>
              <w:rPr>
                <w:b w:val="0"/>
              </w:rPr>
              <w:t>European Union</w:t>
            </w:r>
          </w:p>
          <w:p>
            <w:r>
              <w:rPr>
                <w:b/>
              </w:rPr>
              <w:t xml:space="preserve">GHG </w:t>
            </w:r>
            <w:r>
              <w:rPr>
                <w:b w:val="0"/>
              </w:rPr>
              <w:t>Greenhouse gas</w:t>
            </w:r>
          </w:p>
          <w:p>
            <w:r>
              <w:rPr>
                <w:b/>
              </w:rPr>
              <w:t xml:space="preserve">GMP </w:t>
            </w:r>
            <w:r>
              <w:rPr>
                <w:b w:val="0"/>
              </w:rPr>
              <w:t>Good Manufacturing Practices</w:t>
            </w:r>
          </w:p>
          <w:p>
            <w:r>
              <w:rPr>
                <w:b/>
              </w:rPr>
              <w:t xml:space="preserve">HACCP </w:t>
            </w:r>
            <w:r>
              <w:rPr>
                <w:b w:val="0"/>
              </w:rPr>
              <w:t>Hazard Analysis and Critical Control Points</w:t>
            </w:r>
          </w:p>
          <w:p>
            <w:r>
              <w:rPr>
                <w:b/>
              </w:rPr>
              <w:t xml:space="preserve">ILO </w:t>
            </w:r>
            <w:r>
              <w:rPr>
                <w:b w:val="0"/>
              </w:rPr>
              <w:t>International Labour Organization</w:t>
            </w:r>
          </w:p>
          <w:p>
            <w:r>
              <w:rPr>
                <w:b/>
              </w:rPr>
              <w:t xml:space="preserve">PPE </w:t>
            </w:r>
            <w:r>
              <w:rPr>
                <w:b w:val="0"/>
              </w:rPr>
              <w:t>Personal Protective Equipment</w:t>
            </w:r>
          </w:p>
          <w:p>
            <w:r>
              <w:rPr>
                <w:b/>
              </w:rPr>
              <w:t xml:space="preserve">SBTi </w:t>
            </w:r>
            <w:r>
              <w:rPr>
                <w:b w:val="0"/>
              </w:rPr>
              <w:t>The Science Based Targets initiative</w:t>
            </w:r>
          </w:p>
          <w:p>
            <w:r>
              <w:rPr>
                <w:b/>
              </w:rPr>
              <w:t xml:space="preserve">UDHR </w:t>
            </w:r>
            <w:r>
              <w:rPr>
                <w:b w:val="0"/>
              </w:rPr>
              <w:t>The Universal Declaration of Human Rights</w:t>
            </w:r>
          </w:p>
          <w:p>
            <w:r>
              <w:rPr>
                <w:b/>
              </w:rPr>
              <w:t xml:space="preserve">UN </w:t>
            </w:r>
            <w:r>
              <w:rPr>
                <w:b w:val="0"/>
              </w:rPr>
              <w:t>United Nations</w:t>
            </w:r>
          </w:p>
          <w:p>
            <w:r>
              <w:rPr>
                <w:b/>
              </w:rPr>
              <w:t xml:space="preserve">UNCRC </w:t>
            </w:r>
            <w:r>
              <w:rPr>
                <w:b w:val="0"/>
              </w:rPr>
              <w:t>The United Nations Convention on the Rights of the Child</w:t>
            </w:r>
          </w:p>
          <w:p>
            <w:r>
              <w:rPr>
                <w:b/>
              </w:rPr>
              <w:t xml:space="preserve">WCEP </w:t>
            </w:r>
            <w:r>
              <w:rPr>
                <w:b w:val="0"/>
              </w:rPr>
              <w:t>Water Conservation and Efficiency Plan</w:t>
            </w:r>
          </w:p>
          <w:p>
            <w:r>
              <w:rPr>
                <w:b/>
              </w:rPr>
              <w:t xml:space="preserve">WHO </w:t>
            </w:r>
            <w:r>
              <w:rPr>
                <w:b w:val="0"/>
              </w:rPr>
              <w:t>World Health Organization</w:t>
            </w:r>
          </w:p>
          <w:p>
            <w:r>
              <w:rPr>
                <w:b/>
              </w:rPr>
              <w:t xml:space="preserve">WMP </w:t>
            </w:r>
            <w:r>
              <w:rPr>
                <w:b w:val="0"/>
              </w:rPr>
              <w:t>Waste Management Plan</w:t>
            </w:r>
          </w:p>
        </w:tc>
        <w:tc>
          <w:tcPr>
            <w:tcW w:type="dxa" w:w="4320"/>
          </w:tcPr>
          <w:p>
            <w:pPr>
              <w:pStyle w:val="Heading1"/>
            </w:pPr>
            <w:r>
              <w:t>References</w:t>
            </w:r>
          </w:p>
          <w:p>
            <w:r>
              <w:rPr>
                <w:b/>
              </w:rPr>
              <w:t xml:space="preserve">Internal </w:t>
            </w:r>
            <w:r>
              <w:rPr>
                <w:b w:val="0"/>
              </w:rPr>
              <w:t>BioMar Group Marine Ingredients Position Statement</w:t>
            </w:r>
          </w:p>
          <w:p>
            <w:r>
              <w:t>BioMar Group Vegetable Ingredients Position Statement</w:t>
            </w:r>
          </w:p>
          <w:p>
            <w:r>
              <w:t>BioMar Group Responsible Sourcing Policy</w:t>
            </w:r>
          </w:p>
          <w:p>
            <w:r>
              <w:t>BioMar Group Sustainability Report</w:t>
            </w:r>
          </w:p>
          <w:p>
            <w:r>
              <w:rPr>
                <w:b/>
              </w:rPr>
              <w:t xml:space="preserve">External </w:t>
            </w:r>
            <w:r>
              <w:rPr>
                <w:b w:val="0"/>
              </w:rPr>
              <w:t>Aquaculture Industry standards</w:t>
            </w:r>
          </w:p>
          <w:p>
            <w:pPr>
              <w:pStyle w:val="ListBullet"/>
            </w:pPr>
            <w:r>
              <w:t>Aquaculture Stewardship Council (ASC)</w:t>
            </w:r>
          </w:p>
          <w:p>
            <w:pPr>
              <w:pStyle w:val="ListBullet"/>
            </w:pPr>
            <w:r>
              <w:t>MarinTrust</w:t>
            </w:r>
          </w:p>
          <w:p>
            <w:pPr>
              <w:pStyle w:val="ListBullet"/>
            </w:pPr>
            <w:r>
              <w:t>Marine Stewardship Council (MSC)</w:t>
            </w:r>
          </w:p>
          <w:p>
            <w:r>
              <w:t>Global Good Agriculture Practices (Global G.A.P)</w:t>
            </w:r>
          </w:p>
          <w:p>
            <w:r>
              <w:t>International Labour Organization (ILO)</w:t>
            </w:r>
          </w:p>
          <w:p>
            <w:r>
              <w:t>The Ethical trade initiative (ETI)</w:t>
            </w:r>
          </w:p>
          <w:p>
            <w:r>
              <w:t>The Greenhouse Gas Protocol: https://ghgprotocol.org/sites/default/files/standards/ghg-protocol- revised.pdf</w:t>
            </w:r>
          </w:p>
          <w:p>
            <w:r>
              <w:t>The Paris Agreement, UNFCCC: https://unfccc.int/process-and-meetings/the-paris-agreement/the- paris-agreement</w:t>
            </w:r>
          </w:p>
          <w:p>
            <w:r>
              <w:t>The Science Based Targets initiative, (SBTi): https://sciencebasedtargets.org/</w:t>
            </w:r>
          </w:p>
          <w:p>
            <w:r>
              <w:t>United Nations (UN)</w:t>
            </w:r>
          </w:p>
          <w:p>
            <w:pPr>
              <w:pStyle w:val="ListBullet"/>
            </w:pPr>
            <w:r>
              <w:t>United Nations Convention on the Rights of the Child</w:t>
            </w:r>
          </w:p>
          <w:p>
            <w:pPr>
              <w:pStyle w:val="ListBullet"/>
            </w:pPr>
            <w:r>
              <w:t>United Nations 17 Sustainable development goals</w:t>
            </w:r>
          </w:p>
          <w:p>
            <w:pPr>
              <w:pStyle w:val="ListBullet"/>
            </w:pPr>
            <w:r>
              <w:t>United Nations Universal Declaration of Human rights</w:t>
            </w:r>
          </w:p>
          <w:p>
            <w:r>
              <w:t>World Health Organization (WHO)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