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5r39jb9b.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color w:val="1C4076"/>
          <w:sz w:val="22"/>
        </w:rPr>
        <w:t>BioMar Group – Statement on Corporate Governance</w:t>
      </w:r>
    </w:p>
    <w:p>
      <w:pPr>
        <w:spacing w:after="200"/>
        <w:jc w:val="both"/>
      </w:pPr>
      <w:r>
        <w:rPr>
          <w:rFonts w:ascii="Avenir Next LT Pro" w:hAnsi="Avenir Next LT Pro"/>
          <w:b w:val="0"/>
          <w:color w:val="1C4076"/>
          <w:sz w:val="22"/>
        </w:rPr>
        <w:t>This statutory corporate governance statement for BioMar Group A/S, CVR no. 38 57 06 17 (“BioMar” or the “Company”, and together with its subsidiaries and affiliates, the “Group”) has been prepared pursuant to Section 107b of the Danish Financial Statements Act, the Nordic Main Market Rulebook for Issuers of Shares on Nasdaq Copenhagen A/S and the Danish Committee’s Recommendations on Corporate Governance from December 2020 (the “Danish Corporate Governance Recommendations”). This statement has been prepared in connection with the initial public offering of the shares in BioMar and will be effective as from the date of admission of BioMar’s shares to trading and official listing on Nasdaq Copenhagen A/S.</w:t>
      </w:r>
    </w:p>
    <w:p>
      <w:pPr>
        <w:spacing w:after="200"/>
        <w:jc w:val="both"/>
      </w:pPr>
      <w:r>
        <w:rPr>
          <w:rFonts w:ascii="Avenir Next LT Pro" w:hAnsi="Avenir Next LT Pro"/>
          <w:b w:val="0"/>
          <w:color w:val="1C4076"/>
          <w:sz w:val="22"/>
        </w:rPr>
        <w:t>Adopted by the Board of Directors of BioMar Group A/S on 19 May 2026.</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color w:val="FFFFFF"/>
                <w:sz w:val="17"/>
              </w:rPr>
              <w:t>Recommendation</w:t>
            </w:r>
          </w:p>
        </w:tc>
        <w:tc>
          <w:tcPr>
            <w:tcW w:type="dxa" w:w="2551"/>
            <w:shd w:val="clear" w:fill="1C4076"/>
          </w:tcPr>
          <w:p>
            <w:r/>
            <w:r>
              <w:rPr>
                <w:rFonts w:ascii="Avenir Next LT Pro" w:hAnsi="Avenir Next LT Pro"/>
                <w:b/>
                <w:color w:val="FFFFFF"/>
                <w:sz w:val="17"/>
              </w:rPr>
              <w:t>Complies</w:t>
            </w:r>
          </w:p>
        </w:tc>
        <w:tc>
          <w:tcPr>
            <w:tcW w:type="dxa" w:w="2551"/>
            <w:shd w:val="clear" w:fill="1C4076"/>
          </w:tcPr>
          <w:p>
            <w:r/>
            <w:r>
              <w:rPr>
                <w:rFonts w:ascii="Avenir Next LT Pro" w:hAnsi="Avenir Next LT Pro"/>
                <w:b/>
                <w:color w:val="FFFFFF"/>
                <w:sz w:val="17"/>
              </w:rPr>
              <w:t>Explains</w:t>
            </w:r>
          </w:p>
        </w:tc>
        <w:tc>
          <w:tcPr>
            <w:tcW w:type="dxa" w:w="2551"/>
            <w:shd w:val="clear" w:fill="1C4076"/>
          </w:tcPr>
          <w:p>
            <w:r/>
            <w:r>
              <w:rPr>
                <w:rFonts w:ascii="Avenir Next LT Pro" w:hAnsi="Avenir Next LT Pro"/>
                <w:b/>
                <w:color w:val="FFFFFF"/>
                <w:sz w:val="17"/>
              </w:rPr>
              <w:t>Explains</w:t>
            </w:r>
          </w:p>
        </w:tc>
      </w:tr>
      <w:tr>
        <w:tc>
          <w:tcPr>
            <w:tcW w:type="dxa" w:w="2551"/>
          </w:tcPr>
          <w:p>
            <w:r/>
            <w:r>
              <w:rPr>
                <w:rFonts w:ascii="Avenir Next LT Pro" w:hAnsi="Avenir Next LT Pro"/>
                <w:b w:val="0"/>
                <w:color w:val="1C4076"/>
                <w:sz w:val="17"/>
              </w:rPr>
              <w:t>Recommendation</w:t>
            </w:r>
          </w:p>
        </w:tc>
        <w:tc>
          <w:tcPr>
            <w:tcW w:type="dxa" w:w="2551"/>
          </w:tcPr>
          <w:p>
            <w:r/>
            <w:r>
              <w:rPr>
                <w:rFonts w:ascii="Avenir Next LT Pro" w:hAnsi="Avenir Next LT Pro"/>
                <w:b w:val="0"/>
                <w:color w:val="1C4076"/>
                <w:sz w:val="17"/>
              </w:rPr>
              <w:t>Complies</w:t>
            </w:r>
          </w:p>
        </w:tc>
        <w:tc>
          <w:tcPr>
            <w:tcW w:type="dxa" w:w="2551"/>
          </w:tcPr>
          <w:p>
            <w:r/>
            <w:r>
              <w:rPr>
                <w:rFonts w:ascii="Avenir Next LT Pro" w:hAnsi="Avenir Next LT Pro"/>
                <w:b w:val="0"/>
                <w:color w:val="1C4076"/>
                <w:sz w:val="17"/>
              </w:rPr>
              <w:t>Why</w:t>
            </w:r>
          </w:p>
        </w:tc>
        <w:tc>
          <w:tcPr>
            <w:tcW w:type="dxa" w:w="2551"/>
          </w:tcPr>
          <w:p>
            <w:r/>
            <w:r>
              <w:rPr>
                <w:rFonts w:ascii="Avenir Next LT Pro" w:hAnsi="Avenir Next LT Pro"/>
                <w:b w:val="0"/>
                <w:color w:val="1C4076"/>
                <w:sz w:val="17"/>
              </w:rPr>
              <w:t>How</w:t>
            </w:r>
          </w:p>
        </w:tc>
      </w:tr>
      <w:tr>
        <w:tc>
          <w:tcPr>
            <w:tcW w:type="dxa" w:w="2551"/>
          </w:tcPr>
          <w:p>
            <w:r/>
            <w:r>
              <w:rPr>
                <w:rFonts w:ascii="Avenir Next LT Pro" w:hAnsi="Avenir Next LT Pro"/>
                <w:b w:val="0"/>
                <w:color w:val="1C4076"/>
                <w:sz w:val="17"/>
              </w:rPr>
              <w:t>1. Interaction with the company’s shareholders, investors and other stakeholders</w:t>
            </w:r>
          </w:p>
        </w:tc>
        <w:tc>
          <w:tcPr>
            <w:tcW w:type="dxa" w:w="2551"/>
          </w:tcPr>
          <w:p>
            <w:r/>
            <w:r>
              <w:rPr>
                <w:rFonts w:ascii="Avenir Next LT Pro" w:hAnsi="Avenir Next LT Pro"/>
                <w:b w:val="0"/>
                <w:color w:val="1C4076"/>
                <w:sz w:val="17"/>
              </w:rPr>
              <w:t>1. Interaction with the company’s shareholders, investors and other stakeholders</w:t>
            </w:r>
          </w:p>
        </w:tc>
        <w:tc>
          <w:tcPr>
            <w:tcW w:type="dxa" w:w="2551"/>
          </w:tcPr>
          <w:p>
            <w:r/>
            <w:r>
              <w:rPr>
                <w:rFonts w:ascii="Avenir Next LT Pro" w:hAnsi="Avenir Next LT Pro"/>
                <w:b w:val="0"/>
                <w:color w:val="1C4076"/>
                <w:sz w:val="17"/>
              </w:rPr>
              <w:t>1. Interaction with the company’s shareholders, investors and other stakeholders</w:t>
            </w:r>
          </w:p>
        </w:tc>
        <w:tc>
          <w:tcPr>
            <w:tcW w:type="dxa" w:w="2551"/>
          </w:tcPr>
          <w:p>
            <w:r/>
            <w:r>
              <w:rPr>
                <w:rFonts w:ascii="Avenir Next LT Pro" w:hAnsi="Avenir Next LT Pro"/>
                <w:b w:val="0"/>
                <w:color w:val="1C4076"/>
                <w:sz w:val="17"/>
              </w:rPr>
              <w:t>1. Interaction with the company’s shareholders, investors and other stakeholders</w:t>
            </w:r>
          </w:p>
        </w:tc>
      </w:tr>
      <w:tr>
        <w:tc>
          <w:tcPr>
            <w:tcW w:type="dxa" w:w="2551"/>
          </w:tcPr>
          <w:p>
            <w:r/>
            <w:r>
              <w:rPr>
                <w:rFonts w:ascii="Avenir Next LT Pro" w:hAnsi="Avenir Next LT Pro"/>
                <w:b w:val="0"/>
                <w:color w:val="1C4076"/>
                <w:sz w:val="17"/>
              </w:rPr>
              <w:t>1.1. Communication with the company’s shareholders, investors and other stakeholders</w:t>
            </w:r>
          </w:p>
        </w:tc>
        <w:tc>
          <w:tcPr>
            <w:tcW w:type="dxa" w:w="2551"/>
          </w:tcPr>
          <w:p>
            <w:r/>
            <w:r>
              <w:rPr>
                <w:rFonts w:ascii="Avenir Next LT Pro" w:hAnsi="Avenir Next LT Pro"/>
                <w:b w:val="0"/>
                <w:color w:val="1C4076"/>
                <w:sz w:val="17"/>
              </w:rPr>
              <w:t>1.1. Communication with the company’s shareholders, investors and other stakeholders</w:t>
            </w:r>
          </w:p>
        </w:tc>
        <w:tc>
          <w:tcPr>
            <w:tcW w:type="dxa" w:w="2551"/>
          </w:tcPr>
          <w:p>
            <w:r/>
            <w:r>
              <w:rPr>
                <w:rFonts w:ascii="Avenir Next LT Pro" w:hAnsi="Avenir Next LT Pro"/>
                <w:b w:val="0"/>
                <w:color w:val="1C4076"/>
                <w:sz w:val="17"/>
              </w:rPr>
              <w:t>1.1. Communication with the company’s shareholders, investors and other stakeholders</w:t>
            </w:r>
          </w:p>
        </w:tc>
        <w:tc>
          <w:tcPr>
            <w:tcW w:type="dxa" w:w="2551"/>
          </w:tcPr>
          <w:p>
            <w:r/>
            <w:r>
              <w:rPr>
                <w:rFonts w:ascii="Avenir Next LT Pro" w:hAnsi="Avenir Next LT Pro"/>
                <w:b w:val="0"/>
                <w:color w:val="1C4076"/>
                <w:sz w:val="17"/>
              </w:rPr>
              <w:t>1.1. Communication with the company’s shareholders, investors and other stakeholders</w:t>
            </w:r>
          </w:p>
        </w:tc>
      </w:tr>
      <w:tr>
        <w:tc>
          <w:tcPr>
            <w:tcW w:type="dxa" w:w="2551"/>
          </w:tcPr>
          <w:p>
            <w:r/>
            <w:r>
              <w:rPr>
                <w:rFonts w:ascii="Avenir Next LT Pro" w:hAnsi="Avenir Next LT Pro"/>
                <w:b w:val="0"/>
                <w:color w:val="1C4076"/>
                <w:sz w:val="17"/>
              </w:rPr>
              <w:t>1.1.1. The Committee recommends that the management through ongoing dialogue and interaction ensures that shareholders, investors and other stakeholders gain the relevant insight into the company’s affairs, and that the board of directors obtains the possibility of hearing and including their views in its work.</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1.1.2. The Committee recommends that the company adopts policies on the company’s relationships with its shareholders, investors and if relevant other stakeholders in order to ensure that the various interests are included in the company’s considerations and that such policies are made available on the company’s website.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1.1.3. The Committee recommends that the company publishes quarterly reports.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1.2. The general meeting</w:t>
            </w:r>
          </w:p>
        </w:tc>
        <w:tc>
          <w:tcPr>
            <w:tcW w:type="dxa" w:w="2551"/>
          </w:tcPr>
          <w:p>
            <w:r/>
            <w:r>
              <w:rPr>
                <w:rFonts w:ascii="Avenir Next LT Pro" w:hAnsi="Avenir Next LT Pro"/>
                <w:b w:val="0"/>
                <w:color w:val="1C4076"/>
                <w:sz w:val="17"/>
              </w:rPr>
              <w:t>1.2. The general meeting</w:t>
            </w:r>
          </w:p>
        </w:tc>
        <w:tc>
          <w:tcPr>
            <w:tcW w:type="dxa" w:w="2551"/>
          </w:tcPr>
          <w:p>
            <w:r/>
            <w:r>
              <w:rPr>
                <w:rFonts w:ascii="Avenir Next LT Pro" w:hAnsi="Avenir Next LT Pro"/>
                <w:b w:val="0"/>
                <w:color w:val="1C4076"/>
                <w:sz w:val="17"/>
              </w:rPr>
              <w:t>1.2. The general meeting</w:t>
            </w:r>
          </w:p>
        </w:tc>
        <w:tc>
          <w:tcPr>
            <w:tcW w:type="dxa" w:w="2551"/>
          </w:tcPr>
          <w:p>
            <w:r/>
            <w:r>
              <w:rPr>
                <w:rFonts w:ascii="Avenir Next LT Pro" w:hAnsi="Avenir Next LT Pro"/>
                <w:b w:val="0"/>
                <w:color w:val="1C4076"/>
                <w:sz w:val="17"/>
              </w:rPr>
              <w:t>1.2. The general meeting</w:t>
            </w:r>
          </w:p>
        </w:tc>
      </w:tr>
      <w:tr>
        <w:tc>
          <w:tcPr>
            <w:tcW w:type="dxa" w:w="2551"/>
          </w:tcPr>
          <w:p>
            <w:r/>
            <w:r>
              <w:rPr>
                <w:rFonts w:ascii="Avenir Next LT Pro" w:hAnsi="Avenir Next LT Pro"/>
                <w:b w:val="0"/>
                <w:color w:val="1C4076"/>
                <w:sz w:val="17"/>
              </w:rPr>
              <w:t>1.2.1. The Committee recommends that the board of directors organises the company’s general meeting in a manner that allows shareholders, who are unable to attend the meeting in person or are represented by proxy at the general meeting, to vote and raise questions to the management prior to or at the general meeting. The Committee recommends that the board of directors ensures that shareholders can observe the general meeting via webcast or other digital transmission.</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1.2.2. The Committee recommends that proxies and postal votes to be used at the general meeting enable the shareholders to consider each individual item on the agenda.</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1.3. Takeover bids</w:t>
            </w:r>
          </w:p>
        </w:tc>
        <w:tc>
          <w:tcPr>
            <w:tcW w:type="dxa" w:w="2551"/>
          </w:tcPr>
          <w:p>
            <w:r/>
            <w:r>
              <w:rPr>
                <w:rFonts w:ascii="Avenir Next LT Pro" w:hAnsi="Avenir Next LT Pro"/>
                <w:b w:val="0"/>
                <w:color w:val="1C4076"/>
                <w:sz w:val="17"/>
              </w:rPr>
              <w:t>1.3. Takeover bids</w:t>
            </w:r>
          </w:p>
        </w:tc>
        <w:tc>
          <w:tcPr>
            <w:tcW w:type="dxa" w:w="2551"/>
          </w:tcPr>
          <w:p>
            <w:r/>
            <w:r>
              <w:rPr>
                <w:rFonts w:ascii="Avenir Next LT Pro" w:hAnsi="Avenir Next LT Pro"/>
                <w:b w:val="0"/>
                <w:color w:val="1C4076"/>
                <w:sz w:val="17"/>
              </w:rPr>
              <w:t>1.3. Takeover bids</w:t>
            </w:r>
          </w:p>
        </w:tc>
        <w:tc>
          <w:tcPr>
            <w:tcW w:type="dxa" w:w="2551"/>
          </w:tcPr>
          <w:p>
            <w:r/>
            <w:r>
              <w:rPr>
                <w:rFonts w:ascii="Avenir Next LT Pro" w:hAnsi="Avenir Next LT Pro"/>
                <w:b w:val="0"/>
                <w:color w:val="1C4076"/>
                <w:sz w:val="17"/>
              </w:rPr>
              <w:t>1.3. Takeover bids</w:t>
            </w:r>
          </w:p>
        </w:tc>
      </w:tr>
      <w:tr>
        <w:tc>
          <w:tcPr>
            <w:tcW w:type="dxa" w:w="2551"/>
          </w:tcPr>
          <w:p>
            <w:r/>
            <w:r>
              <w:rPr>
                <w:rFonts w:ascii="Avenir Next LT Pro" w:hAnsi="Avenir Next LT Pro"/>
                <w:b w:val="0"/>
                <w:color w:val="1C4076"/>
                <w:sz w:val="17"/>
              </w:rPr>
              <w:t>1.3.1. The Committee recommends that the company has a procedure in place in the event of takeover bids, containing a “road map” covering matters for the board of directors to consider in the event of a takeover bid, or if the board of directors obtains reasonable grounds to suspect that a takeover bid may be submitted. In addition, it is recommended that it appears from the procedure that the board of directors abstains from countering any takeover bids by taking actions that seek to prevent the shareholders from deciding on the takeover bid, without the approval of the general meeting.</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1.2.2. The Committee recommends that proxies and postal votes to be used at the general meeting enable the shareholders to consider each item on the agenda.</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1.4. Corporate Social Responsibility</w:t>
            </w:r>
          </w:p>
        </w:tc>
        <w:tc>
          <w:tcPr>
            <w:tcW w:type="dxa" w:w="2551"/>
          </w:tcPr>
          <w:p>
            <w:r/>
            <w:r>
              <w:rPr>
                <w:rFonts w:ascii="Avenir Next LT Pro" w:hAnsi="Avenir Next LT Pro"/>
                <w:b w:val="0"/>
                <w:color w:val="1C4076"/>
                <w:sz w:val="17"/>
              </w:rPr>
              <w:t>1.4. Corporate Social Responsibility</w:t>
            </w:r>
          </w:p>
        </w:tc>
        <w:tc>
          <w:tcPr>
            <w:tcW w:type="dxa" w:w="2551"/>
          </w:tcPr>
          <w:p>
            <w:r/>
            <w:r>
              <w:rPr>
                <w:rFonts w:ascii="Avenir Next LT Pro" w:hAnsi="Avenir Next LT Pro"/>
                <w:b w:val="0"/>
                <w:color w:val="1C4076"/>
                <w:sz w:val="17"/>
              </w:rPr>
              <w:t>1.4. Corporate Social Responsibility</w:t>
            </w:r>
          </w:p>
        </w:tc>
        <w:tc>
          <w:tcPr>
            <w:tcW w:type="dxa" w:w="2551"/>
          </w:tcPr>
          <w:p>
            <w:r/>
            <w:r>
              <w:rPr>
                <w:rFonts w:ascii="Avenir Next LT Pro" w:hAnsi="Avenir Next LT Pro"/>
                <w:b w:val="0"/>
                <w:color w:val="1C4076"/>
                <w:sz w:val="17"/>
              </w:rPr>
              <w:t>1.4. Corporate Social Responsibility</w:t>
            </w:r>
          </w:p>
        </w:tc>
      </w:tr>
      <w:tr>
        <w:tc>
          <w:tcPr>
            <w:tcW w:type="dxa" w:w="2551"/>
          </w:tcPr>
          <w:p>
            <w:r/>
            <w:r>
              <w:rPr>
                <w:rFonts w:ascii="Avenir Next LT Pro" w:hAnsi="Avenir Next LT Pro"/>
                <w:b w:val="0"/>
                <w:color w:val="1C4076"/>
                <w:sz w:val="17"/>
              </w:rPr>
              <w:t>1.4.1. The Committee recommends that the board of directors adopts a policy for the company’s corporate social responsibility, including social responsibility and sustainability, and that the policy is available in the management commentary and/or on the company’s website. The Committee recommends that the board of directors ensures compliance with the policy.</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1.4.2. The Committee recommends that the board of directors adopts a tax policy to be made available on the company’s website.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 The duties and responsibilities of the board of directors</w:t>
            </w:r>
          </w:p>
        </w:tc>
        <w:tc>
          <w:tcPr>
            <w:tcW w:type="dxa" w:w="2551"/>
          </w:tcPr>
          <w:p>
            <w:r/>
            <w:r>
              <w:rPr>
                <w:rFonts w:ascii="Avenir Next LT Pro" w:hAnsi="Avenir Next LT Pro"/>
                <w:b w:val="0"/>
                <w:color w:val="1C4076"/>
                <w:sz w:val="17"/>
              </w:rPr>
              <w:t>2. The duties and responsibilities of the board of directors</w:t>
            </w:r>
          </w:p>
        </w:tc>
        <w:tc>
          <w:tcPr>
            <w:tcW w:type="dxa" w:w="2551"/>
          </w:tcPr>
          <w:p>
            <w:r/>
            <w:r>
              <w:rPr>
                <w:rFonts w:ascii="Avenir Next LT Pro" w:hAnsi="Avenir Next LT Pro"/>
                <w:b w:val="0"/>
                <w:color w:val="1C4076"/>
                <w:sz w:val="17"/>
              </w:rPr>
              <w:t>2. The duties and responsibilities of the board of directors</w:t>
            </w:r>
          </w:p>
        </w:tc>
        <w:tc>
          <w:tcPr>
            <w:tcW w:type="dxa" w:w="2551"/>
          </w:tcPr>
          <w:p>
            <w:r/>
            <w:r>
              <w:rPr>
                <w:rFonts w:ascii="Avenir Next LT Pro" w:hAnsi="Avenir Next LT Pro"/>
                <w:b w:val="0"/>
                <w:color w:val="1C4076"/>
                <w:sz w:val="17"/>
              </w:rPr>
              <w:t>2. The duties and responsibilities of the board of directors</w:t>
            </w:r>
          </w:p>
        </w:tc>
      </w:tr>
      <w:tr>
        <w:tc>
          <w:tcPr>
            <w:tcW w:type="dxa" w:w="2551"/>
          </w:tcPr>
          <w:p>
            <w:r/>
            <w:r>
              <w:rPr>
                <w:rFonts w:ascii="Avenir Next LT Pro" w:hAnsi="Avenir Next LT Pro"/>
                <w:b w:val="0"/>
                <w:color w:val="1C4076"/>
                <w:sz w:val="17"/>
              </w:rPr>
              <w:t>2.1. Overall tasks and responsibilities</w:t>
            </w:r>
          </w:p>
        </w:tc>
        <w:tc>
          <w:tcPr>
            <w:tcW w:type="dxa" w:w="2551"/>
          </w:tcPr>
          <w:p>
            <w:r/>
            <w:r>
              <w:rPr>
                <w:rFonts w:ascii="Avenir Next LT Pro" w:hAnsi="Avenir Next LT Pro"/>
                <w:b w:val="0"/>
                <w:color w:val="1C4076"/>
                <w:sz w:val="17"/>
              </w:rPr>
              <w:t>2.1. Overall tasks and responsibilities</w:t>
            </w:r>
          </w:p>
        </w:tc>
        <w:tc>
          <w:tcPr>
            <w:tcW w:type="dxa" w:w="2551"/>
          </w:tcPr>
          <w:p>
            <w:r/>
            <w:r>
              <w:rPr>
                <w:rFonts w:ascii="Avenir Next LT Pro" w:hAnsi="Avenir Next LT Pro"/>
                <w:b w:val="0"/>
                <w:color w:val="1C4076"/>
                <w:sz w:val="17"/>
              </w:rPr>
              <w:t>2.1. Overall tasks and responsibilities</w:t>
            </w:r>
          </w:p>
        </w:tc>
        <w:tc>
          <w:tcPr>
            <w:tcW w:type="dxa" w:w="2551"/>
          </w:tcPr>
          <w:p>
            <w:r/>
            <w:r>
              <w:rPr>
                <w:rFonts w:ascii="Avenir Next LT Pro" w:hAnsi="Avenir Next LT Pro"/>
                <w:b w:val="0"/>
                <w:color w:val="1C4076"/>
                <w:sz w:val="17"/>
              </w:rPr>
              <w:t>2.1. Overall tasks and responsibilities</w:t>
            </w:r>
          </w:p>
        </w:tc>
      </w:tr>
      <w:tr>
        <w:tc>
          <w:tcPr>
            <w:tcW w:type="dxa" w:w="2551"/>
          </w:tcPr>
          <w:p>
            <w:r/>
            <w:r>
              <w:rPr>
                <w:rFonts w:ascii="Avenir Next LT Pro" w:hAnsi="Avenir Next LT Pro"/>
                <w:b w:val="0"/>
                <w:color w:val="1C4076"/>
                <w:sz w:val="17"/>
              </w:rPr>
              <w:t>2.1.1. The Committee recommends that the board of directors in support of the company’s statutory objects according to its articles of association and the long-term value creation considers the company’s purpose and ensures and promotes a good culture and sound values in the company. The company should provide an account thereof in the management commentary and/or on the company’s website.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2.1.2. The Committee recommends that the board of directors at least once a year discusses and on a regular basis follows up on the company’s overall strategic targets in order to ensure the value creation in the company.</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2.1.3. The Committee recommends that the board of directors on a continuously basis takes steps to examine whether the company’s share and capital structure supports the strategy and the long-term value creation in the interest of the company as well as the shareholders. The Committee recommends that the company gives an account thereof in the management commentary.</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2.1.4. The Committee recommends that the board of directors prepares and on an annual basis reviews guidelines for the executive management, including requirements in respect of the reporting to the board of directors.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2.2. Members of the board of directors</w:t>
            </w:r>
          </w:p>
        </w:tc>
        <w:tc>
          <w:tcPr>
            <w:tcW w:type="dxa" w:w="2551"/>
          </w:tcPr>
          <w:p>
            <w:r/>
            <w:r>
              <w:rPr>
                <w:rFonts w:ascii="Avenir Next LT Pro" w:hAnsi="Avenir Next LT Pro"/>
                <w:b w:val="0"/>
                <w:color w:val="1C4076"/>
                <w:sz w:val="17"/>
              </w:rPr>
              <w:t>2.2. Members of the board of directors</w:t>
            </w:r>
          </w:p>
        </w:tc>
        <w:tc>
          <w:tcPr>
            <w:tcW w:type="dxa" w:w="2551"/>
          </w:tcPr>
          <w:p>
            <w:r/>
            <w:r>
              <w:rPr>
                <w:rFonts w:ascii="Avenir Next LT Pro" w:hAnsi="Avenir Next LT Pro"/>
                <w:b w:val="0"/>
                <w:color w:val="1C4076"/>
                <w:sz w:val="17"/>
              </w:rPr>
              <w:t>2.2. Members of the board of directors</w:t>
            </w:r>
          </w:p>
        </w:tc>
        <w:tc>
          <w:tcPr>
            <w:tcW w:type="dxa" w:w="2551"/>
          </w:tcPr>
          <w:p>
            <w:r/>
            <w:r>
              <w:rPr>
                <w:rFonts w:ascii="Avenir Next LT Pro" w:hAnsi="Avenir Next LT Pro"/>
                <w:b w:val="0"/>
                <w:color w:val="1C4076"/>
                <w:sz w:val="17"/>
              </w:rPr>
              <w:t>2.2. Members of the board of directors</w:t>
            </w:r>
          </w:p>
        </w:tc>
      </w:tr>
      <w:tr>
        <w:tc>
          <w:tcPr>
            <w:tcW w:type="dxa" w:w="2551"/>
          </w:tcPr>
          <w:p>
            <w:r/>
            <w:r>
              <w:rPr>
                <w:rFonts w:ascii="Avenir Next LT Pro" w:hAnsi="Avenir Next LT Pro"/>
                <w:b w:val="0"/>
                <w:color w:val="1C4076"/>
                <w:sz w:val="17"/>
              </w:rPr>
              <w:t>2.2.1. The Committee recommends that the board of directors, in addition to a chairperson, appoints a vice chairperson, who can step in if the chairperson is absent and who can generally act as the chairperson’s close sparring partner.</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2.2.2. The Committee recommends that the chairperson in cooperation with the individual members of the board of directors ensures that the members up-date and supplement their knowledge of relevant matters, and that the members’ special knowledge and qualifications are applied in the best possible manner.</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2.2.3. The Committee recommends that if the board of directors, in exceptional cases, requests a member of the board of directors to take on special duties for the company, for instance, for a short period to take part in the daily management of the company, the board of directors should approve this in order to ensure that the board of directors maintains its independent overall management and control function. It is recommended that the company publishes any decision on allowing a member of the board of directors to take part in the daily management, including the expected duration thereof.</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 The composition, organisation and evaluation of the board of directors</w:t>
            </w:r>
          </w:p>
        </w:tc>
        <w:tc>
          <w:tcPr>
            <w:tcW w:type="dxa" w:w="2551"/>
          </w:tcPr>
          <w:p>
            <w:r/>
            <w:r>
              <w:rPr>
                <w:rFonts w:ascii="Avenir Next LT Pro" w:hAnsi="Avenir Next LT Pro"/>
                <w:b w:val="0"/>
                <w:color w:val="1C4076"/>
                <w:sz w:val="17"/>
              </w:rPr>
              <w:t>3. The composition, organisation and evaluation of the board of directors</w:t>
            </w:r>
          </w:p>
        </w:tc>
        <w:tc>
          <w:tcPr>
            <w:tcW w:type="dxa" w:w="2551"/>
          </w:tcPr>
          <w:p>
            <w:r/>
            <w:r>
              <w:rPr>
                <w:rFonts w:ascii="Avenir Next LT Pro" w:hAnsi="Avenir Next LT Pro"/>
                <w:b w:val="0"/>
                <w:color w:val="1C4076"/>
                <w:sz w:val="17"/>
              </w:rPr>
              <w:t>3. The composition, organisation and evaluation of the board of directors</w:t>
            </w:r>
          </w:p>
        </w:tc>
        <w:tc>
          <w:tcPr>
            <w:tcW w:type="dxa" w:w="2551"/>
          </w:tcPr>
          <w:p>
            <w:r/>
            <w:r>
              <w:rPr>
                <w:rFonts w:ascii="Avenir Next LT Pro" w:hAnsi="Avenir Next LT Pro"/>
                <w:b w:val="0"/>
                <w:color w:val="1C4076"/>
                <w:sz w:val="17"/>
              </w:rPr>
              <w:t>3. The composition, organisation and evaluation of the board of directors</w:t>
            </w:r>
          </w:p>
        </w:tc>
      </w:tr>
      <w:tr>
        <w:tc>
          <w:tcPr>
            <w:tcW w:type="dxa" w:w="2551"/>
          </w:tcPr>
          <w:p>
            <w:r/>
            <w:r>
              <w:rPr>
                <w:rFonts w:ascii="Avenir Next LT Pro" w:hAnsi="Avenir Next LT Pro"/>
                <w:b w:val="0"/>
                <w:color w:val="1C4076"/>
                <w:sz w:val="17"/>
              </w:rPr>
              <w:t>3.1. Composition</w:t>
            </w:r>
          </w:p>
        </w:tc>
        <w:tc>
          <w:tcPr>
            <w:tcW w:type="dxa" w:w="2551"/>
          </w:tcPr>
          <w:p>
            <w:r/>
            <w:r>
              <w:rPr>
                <w:rFonts w:ascii="Avenir Next LT Pro" w:hAnsi="Avenir Next LT Pro"/>
                <w:b w:val="0"/>
                <w:color w:val="1C4076"/>
                <w:sz w:val="17"/>
              </w:rPr>
              <w:t>3.1. Composition</w:t>
            </w:r>
          </w:p>
        </w:tc>
        <w:tc>
          <w:tcPr>
            <w:tcW w:type="dxa" w:w="2551"/>
          </w:tcPr>
          <w:p>
            <w:r/>
            <w:r>
              <w:rPr>
                <w:rFonts w:ascii="Avenir Next LT Pro" w:hAnsi="Avenir Next LT Pro"/>
                <w:b w:val="0"/>
                <w:color w:val="1C4076"/>
                <w:sz w:val="17"/>
              </w:rPr>
              <w:t>3.1. Composition</w:t>
            </w:r>
          </w:p>
        </w:tc>
        <w:tc>
          <w:tcPr>
            <w:tcW w:type="dxa" w:w="2551"/>
          </w:tcPr>
          <w:p>
            <w:r/>
            <w:r>
              <w:rPr>
                <w:rFonts w:ascii="Avenir Next LT Pro" w:hAnsi="Avenir Next LT Pro"/>
                <w:b w:val="0"/>
                <w:color w:val="1C4076"/>
                <w:sz w:val="17"/>
              </w:rPr>
              <w:t>3.1. Composition</w:t>
            </w:r>
          </w:p>
        </w:tc>
      </w:tr>
      <w:tr>
        <w:tc>
          <w:tcPr>
            <w:tcW w:type="dxa" w:w="2551"/>
          </w:tcPr>
          <w:p>
            <w:r/>
            <w:r>
              <w:rPr>
                <w:rFonts w:ascii="Avenir Next LT Pro" w:hAnsi="Avenir Next LT Pro"/>
                <w:b w:val="0"/>
                <w:color w:val="1C4076"/>
                <w:sz w:val="17"/>
              </w:rPr>
              <w:t>3.1.1. The Committee recommends that the board of directors on an annual basis reviews and in the management commentary and/or on the company’s website states</w:t>
              <w:br/>
              <w:t>• which qualifications the board of directors should possess, collectively and individually, in order to perform its duties in the best possible manner, and</w:t>
              <w:br/>
              <w:t>the composition of and diversity on the board of directors.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3.1.2. The Committee recommends that the board of directors on an annual basis discusses the company’s activities in order to ensure relevant diversity at the different management levels of the company and adopts a diversity policy, which is included in the management commentary and/or available on the company’s website.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3.1.3. The committee recommends that candidates for the board of directors are recruited based on a thorough process approved by the board of directors.  The Committee recommends that in assessing candidates for the board of directors – in addition to individual competencies and qualifications – the need for continuity, renewal and diversity is also considered.</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3.1.4. The Committee recommends that the notice convening general meetings, where election of members to the board of directors is on the agenda - in addition to the statutory items - also includes a description of the proposed candidates’</w:t>
              <w:br/>
              <w:t>• qualifications,</w:t>
              <w:br/>
              <w:t>• other managerial duties in commercial undertakings, including board committees,</w:t>
              <w:br/>
              <w:t>• demanding organisational assignments and independence.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3.1.5. The Committee recommends that members to the board of directors elected by the general meeting stand for election every year at the annual general meeting, and that the members are nominated and elected individually.</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3.2. The board of director’s independence</w:t>
            </w:r>
          </w:p>
        </w:tc>
        <w:tc>
          <w:tcPr>
            <w:tcW w:type="dxa" w:w="2551"/>
          </w:tcPr>
          <w:p>
            <w:r/>
            <w:r>
              <w:rPr>
                <w:rFonts w:ascii="Avenir Next LT Pro" w:hAnsi="Avenir Next LT Pro"/>
                <w:b w:val="0"/>
                <w:color w:val="1C4076"/>
                <w:sz w:val="17"/>
              </w:rPr>
              <w:t>3.2. The board of director’s independence</w:t>
            </w:r>
          </w:p>
        </w:tc>
        <w:tc>
          <w:tcPr>
            <w:tcW w:type="dxa" w:w="2551"/>
          </w:tcPr>
          <w:p>
            <w:r/>
            <w:r>
              <w:rPr>
                <w:rFonts w:ascii="Avenir Next LT Pro" w:hAnsi="Avenir Next LT Pro"/>
                <w:b w:val="0"/>
                <w:color w:val="1C4076"/>
                <w:sz w:val="17"/>
              </w:rPr>
              <w:t>3.2. The board of director’s independence</w:t>
            </w:r>
          </w:p>
        </w:tc>
        <w:tc>
          <w:tcPr>
            <w:tcW w:type="dxa" w:w="2551"/>
          </w:tcPr>
          <w:p>
            <w:r/>
            <w:r>
              <w:rPr>
                <w:rFonts w:ascii="Avenir Next LT Pro" w:hAnsi="Avenir Next LT Pro"/>
                <w:b w:val="0"/>
                <w:color w:val="1C4076"/>
                <w:sz w:val="17"/>
              </w:rPr>
              <w:t>3.2. The board of director’s independence</w:t>
            </w:r>
          </w:p>
        </w:tc>
      </w:tr>
      <w:tr>
        <w:tc>
          <w:tcPr>
            <w:tcW w:type="dxa" w:w="2551"/>
          </w:tcPr>
          <w:p>
            <w:r/>
            <w:r>
              <w:rPr>
                <w:rFonts w:ascii="Avenir Next LT Pro" w:hAnsi="Avenir Next LT Pro"/>
                <w:b w:val="0"/>
                <w:color w:val="1C4076"/>
                <w:sz w:val="17"/>
              </w:rPr>
              <w:t>3.2.1. The Committee recommends that at least half of the members of the board of directors elected in general meeting are independent in order for the board of directors to be able to act independently avoiding conflicts of interests.</w:t>
              <w:br/>
              <w:t>In order to be independent, the member in question may not:</w:t>
              <w:br/>
              <w:t>• be or within the past five years have been a member of the executive management or an executive employee in the company, a subsidiary or a group company,</w:t>
              <w:br/>
              <w:t>• within the past five years have received large emoluments from the company/group, a subsidiary or a group company in another capacity than as member of the board of directors,</w:t>
              <w:br/>
              <w:t>• represent or be associated with a controlling shareholder,</w:t>
              <w:br/>
              <w:t>• within the past year have had a business relationship (e.g. personally or indirectly as a partner or an employee, shareholder, customer, supplier or member of a governing body in companies with similar relations) with the company, a subsidiary or a group company, which is significant for the company and/or the business relationship,</w:t>
              <w:br/>
              <w:t>• be or within the past three years have been employed with or a partner in the same company as the company’s auditor elected in general meeting,</w:t>
              <w:br/>
              <w:t>• be a CEO in a company with cross-memberships in the company’s management,</w:t>
              <w:br/>
              <w:t>• have been a member of the board of directors for more than twelve years, or</w:t>
              <w:br/>
              <w:t>• be closely related to persons, who are not independent, cf. the above-stated criteria.</w:t>
              <w:br/>
              <w:t>• Even if a member of the board of directors does not fall within the above-stated criteria, the board of directors may for other reasons decide that the member in question is not independent.</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3.2.2. The Committee recommends that members of the executive management are not members of the board of directors and that members retiring from the executive management does not join the board of directors immediately thereafter.</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3.3. Members of the board of directors and the number of other managerial duties</w:t>
            </w:r>
          </w:p>
        </w:tc>
        <w:tc>
          <w:tcPr>
            <w:tcW w:type="dxa" w:w="2551"/>
          </w:tcPr>
          <w:p>
            <w:r/>
            <w:r>
              <w:rPr>
                <w:rFonts w:ascii="Avenir Next LT Pro" w:hAnsi="Avenir Next LT Pro"/>
                <w:b w:val="0"/>
                <w:color w:val="1C4076"/>
                <w:sz w:val="17"/>
              </w:rPr>
              <w:t>3.3. Members of the board of directors and the number of other managerial duties</w:t>
            </w:r>
          </w:p>
        </w:tc>
        <w:tc>
          <w:tcPr>
            <w:tcW w:type="dxa" w:w="2551"/>
          </w:tcPr>
          <w:p>
            <w:r/>
            <w:r>
              <w:rPr>
                <w:rFonts w:ascii="Avenir Next LT Pro" w:hAnsi="Avenir Next LT Pro"/>
                <w:b w:val="0"/>
                <w:color w:val="1C4076"/>
                <w:sz w:val="17"/>
              </w:rPr>
              <w:t>3.3. Members of the board of directors and the number of other managerial duties</w:t>
            </w:r>
          </w:p>
        </w:tc>
        <w:tc>
          <w:tcPr>
            <w:tcW w:type="dxa" w:w="2551"/>
          </w:tcPr>
          <w:p>
            <w:r/>
            <w:r>
              <w:rPr>
                <w:rFonts w:ascii="Avenir Next LT Pro" w:hAnsi="Avenir Next LT Pro"/>
                <w:b w:val="0"/>
                <w:color w:val="1C4076"/>
                <w:sz w:val="17"/>
              </w:rPr>
              <w:t>3.3. Members of the board of directors and the number of other managerial duties</w:t>
            </w:r>
          </w:p>
        </w:tc>
      </w:tr>
      <w:tr>
        <w:tc>
          <w:tcPr>
            <w:tcW w:type="dxa" w:w="2551"/>
          </w:tcPr>
          <w:p>
            <w:r/>
            <w:r>
              <w:rPr>
                <w:rFonts w:ascii="Avenir Next LT Pro" w:hAnsi="Avenir Next LT Pro"/>
                <w:b w:val="0"/>
                <w:color w:val="1C4076"/>
                <w:sz w:val="17"/>
              </w:rPr>
              <w:t>3.3.1. The Committee recommends that the board of directors and each of the members on the board of directors, in connection with the annual evaluation, cf. recommendation 3.5.1., assesses how much time is required to perform the board duties. The aim is for the individual member of the board of directors not to take on more managerial duties than the board member in question is able to perform in a satisfactory manner.</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3.3.2. The Committee recommends that the management commentary, in addition to the statutory requirements, contains the following information on the individual members of the board of directors:</w:t>
              <w:br/>
              <w:t>• position, age and gender,</w:t>
              <w:br/>
              <w:t>• competencies and qualifications relevant to the company,</w:t>
              <w:br/>
              <w:t>• independence,</w:t>
              <w:br/>
              <w:t>• year of joining the board of directors,</w:t>
              <w:br/>
              <w:t>• year of expiry of the current election period,</w:t>
              <w:br/>
              <w:t>• participation in meetings of the board of directors and committee meetings,</w:t>
              <w:br/>
              <w:t>• managerial duties in other commercial undertakings, including board committees, and demanding organisational assignments, and</w:t>
              <w:br/>
              <w:t>the number of shares, options, warrants, etc. that the member holds in the company and its group companies and any changes in such holdings during the financial year.</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3.4. Board committees</w:t>
            </w:r>
          </w:p>
        </w:tc>
        <w:tc>
          <w:tcPr>
            <w:tcW w:type="dxa" w:w="2551"/>
          </w:tcPr>
          <w:p>
            <w:r/>
            <w:r>
              <w:rPr>
                <w:rFonts w:ascii="Avenir Next LT Pro" w:hAnsi="Avenir Next LT Pro"/>
                <w:b w:val="0"/>
                <w:color w:val="1C4076"/>
                <w:sz w:val="17"/>
              </w:rPr>
              <w:t>3.4. Board committees</w:t>
            </w:r>
          </w:p>
        </w:tc>
        <w:tc>
          <w:tcPr>
            <w:tcW w:type="dxa" w:w="2551"/>
          </w:tcPr>
          <w:p>
            <w:r/>
            <w:r>
              <w:rPr>
                <w:rFonts w:ascii="Avenir Next LT Pro" w:hAnsi="Avenir Next LT Pro"/>
                <w:b w:val="0"/>
                <w:color w:val="1C4076"/>
                <w:sz w:val="17"/>
              </w:rPr>
              <w:t>3.4. Board committees</w:t>
            </w:r>
          </w:p>
        </w:tc>
        <w:tc>
          <w:tcPr>
            <w:tcW w:type="dxa" w:w="2551"/>
          </w:tcPr>
          <w:p>
            <w:r/>
            <w:r>
              <w:rPr>
                <w:rFonts w:ascii="Avenir Next LT Pro" w:hAnsi="Avenir Next LT Pro"/>
                <w:b w:val="0"/>
                <w:color w:val="1C4076"/>
                <w:sz w:val="17"/>
              </w:rPr>
              <w:t>3.4. Board committees</w:t>
            </w:r>
          </w:p>
        </w:tc>
      </w:tr>
      <w:tr>
        <w:tc>
          <w:tcPr>
            <w:tcW w:type="dxa" w:w="2551"/>
          </w:tcPr>
          <w:p>
            <w:r/>
            <w:r>
              <w:rPr>
                <w:rFonts w:ascii="Avenir Next LT Pro" w:hAnsi="Avenir Next LT Pro"/>
                <w:b w:val="0"/>
                <w:color w:val="1C4076"/>
                <w:sz w:val="17"/>
              </w:rPr>
              <w:t>3.4.1. The Committee recommends that the management describes in the management commentary:</w:t>
              <w:br/>
              <w:t>• the board committees’ most significant activities and number of meetings in the past year, and</w:t>
              <w:br/>
              <w:t>• the members on the individual board committees, including the chairperson and the independence of the members of the committee in question.</w:t>
              <w:br/>
              <w:t>In addition, it is recommended that the board committees’ terms of reference are published on the company’s website.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3.4.2. The Committee recommends that board committees solely consist of members of the board of directors and that the majority of the members of the board committees are independent.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t>The composition of the board committees is determined by the Board of Directors based on a number of criteria and considerations, including competences and capabilities as well as the Company’s shareholder composition.</w:t>
              <w:br/>
              <w:t>Independency is an important part of such assessment, but the Board of Directors does not believe that it should be the only decisive factor when assessing the optimal composition of its committees. In particular in relation to the Remuneration and Nomination Committee, the Board of Directors finds it important that at least one board member associated with the majority shareholder is represented in the Company’s Remuneration and Nomination Committee.</w:t>
            </w:r>
          </w:p>
        </w:tc>
        <w:tc>
          <w:tcPr>
            <w:tcW w:type="dxa" w:w="2551"/>
          </w:tcPr>
          <w:p>
            <w:r/>
            <w:r>
              <w:rPr>
                <w:rFonts w:ascii="Avenir Next LT Pro" w:hAnsi="Avenir Next LT Pro"/>
                <w:b w:val="0"/>
                <w:color w:val="1C4076"/>
                <w:sz w:val="17"/>
              </w:rPr>
              <w:t>The board committees consist solely of members of the Board of Directors.</w:t>
              <w:br/>
              <w:t>All members of the Audit Committee, including the chair of the Audit Committee, are considered independent.</w:t>
              <w:br/>
              <w:t>However, the majority of the members of the Remuneration and Nomination Committee are not considered independent as only one of two members is considered independent.</w:t>
            </w:r>
          </w:p>
        </w:tc>
      </w:tr>
      <w:tr>
        <w:tc>
          <w:tcPr>
            <w:tcW w:type="dxa" w:w="2551"/>
          </w:tcPr>
          <w:p>
            <w:r/>
            <w:r>
              <w:rPr>
                <w:rFonts w:ascii="Avenir Next LT Pro" w:hAnsi="Avenir Next LT Pro"/>
                <w:b w:val="0"/>
                <w:color w:val="1C4076"/>
                <w:sz w:val="17"/>
              </w:rPr>
              <w:t>3.4.3. The Committee recommends that the board of directors establishes an audit committee and appoints a chairperson of the audit committee, who is not the chairperson of the board of directors. The Committee recommends that the audit committee, in addition to its statutory duties, assists the board of directors in:</w:t>
              <w:br/>
              <w:t>• supervising the correctness of the published financial information, including accounting practices in significant areas, significant accounting estimates and related party transactions,</w:t>
              <w:br/>
              <w:t>• reviewing internal control and risk areas in order to ensure management of significant risks, including in relation to the announced financial outlook,</w:t>
              <w:br/>
              <w:t>• assessing the need for internal audit,</w:t>
              <w:br/>
              <w:t>• performing the evaluation of the auditor elected by the general meeting,</w:t>
              <w:br/>
              <w:t>• reviewing the auditor fee for the auditor elected by the general meeting,</w:t>
              <w:br/>
              <w:t>• supervising the scope of the non-audit services performed by the auditor elected by the general meeting, and</w:t>
              <w:br/>
              <w:t>• ensuring regular interaction between the auditor elected by the general meeting and the board of directors, for instance, that the board of directors and the audit committee at least once a year meet with the auditor without the executive management being present.</w:t>
              <w:br/>
              <w:t>If the board of directors, based on a recommendation from the audit committee, decides to set up an internal audit function, the audit committee must:</w:t>
              <w:br/>
              <w:t>• prepare terms of reference and recommendations on the nomination, employment and dismissal of the head of the internal audit function and on the budget for the department,</w:t>
              <w:br/>
              <w:t>• ensure that the internal audit function has sufficient resources and competencies to perform its role, and</w:t>
              <w:br/>
              <w:t>• supervise the executive management’s follow-up on the conclusions and recommendations of the internal audit function.</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3.4.4. The Committee recommends that the board of directors establishes a nomination committee to perform at least the following preparatory tasks:</w:t>
              <w:br/>
              <w:t>• describing the required qualifications for a given member of the board of directors and the executive management, the estimated time required for performing the duties of this member of the board of directors and the competencies, knowledge and experience that is or should be represented in the two management bodies,</w:t>
              <w:br/>
              <w:t>• on an annual basis evaluating the board of directors and the executive management’s structure, size, composition and results and preparing recommendations for the board of directors for any changes,</w:t>
              <w:br/>
              <w:t>• in cooperation with the chairperson handling the annual evaluation of the board of directors and assessing the individual management members’ competencies, knowledge, experience and succession as well as reporting on it to the board of directors,</w:t>
              <w:br/>
              <w:t>• handling the recruitment of new members to the board of directors and the executive management and nominating candidates for the board of directors’ approval,</w:t>
              <w:br/>
              <w:t>• ensuring that a succession plan for the executive management is in place,</w:t>
              <w:br/>
              <w:t>• supervising executive managements’ policy for the engagement of executive employees, and</w:t>
              <w:br/>
              <w:t>• supervising the preparation of a diversity policy for the board of directors’ approval.</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3.4.5. The Committee recommends that the board of directors establishes a remuneration committee to perform at least the following preparatory tasks:</w:t>
              <w:br/>
              <w:t>• preparing a draft remuneration policy for the board of directors’ approval prior to the presentation at the general meeting,</w:t>
              <w:br/>
              <w:t>• providing a proposal to the board of directors on the remuneration of the members of the executive management,</w:t>
              <w:br/>
              <w:t>• providing a proposal to the board of directors on the remuneration of the board of directors prior to the presentation at the general meeting,</w:t>
              <w:br/>
              <w:t>• ensuring that the management’s actual remuneration complies with the company’s remuneration policy and the evaluation of the individual member’s performance, and</w:t>
              <w:br/>
              <w:t>• assisting in the preparation of the annual remuneration report for the board of directors’ approval prior to the presentation for the general meeting’s advisory vote.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3.5. Evaluation of the board of directors and the executive management</w:t>
            </w:r>
          </w:p>
        </w:tc>
        <w:tc>
          <w:tcPr>
            <w:tcW w:type="dxa" w:w="2551"/>
          </w:tcPr>
          <w:p>
            <w:r/>
            <w:r>
              <w:rPr>
                <w:rFonts w:ascii="Avenir Next LT Pro" w:hAnsi="Avenir Next LT Pro"/>
                <w:b w:val="0"/>
                <w:color w:val="1C4076"/>
                <w:sz w:val="17"/>
              </w:rPr>
              <w:t>3.5. Evaluation of the board of directors and the executive management</w:t>
            </w:r>
          </w:p>
        </w:tc>
        <w:tc>
          <w:tcPr>
            <w:tcW w:type="dxa" w:w="2551"/>
          </w:tcPr>
          <w:p>
            <w:r/>
            <w:r>
              <w:rPr>
                <w:rFonts w:ascii="Avenir Next LT Pro" w:hAnsi="Avenir Next LT Pro"/>
                <w:b w:val="0"/>
                <w:color w:val="1C4076"/>
                <w:sz w:val="17"/>
              </w:rPr>
              <w:t>3.5. Evaluation of the board of directors and the executive management</w:t>
            </w:r>
          </w:p>
        </w:tc>
        <w:tc>
          <w:tcPr>
            <w:tcW w:type="dxa" w:w="2551"/>
          </w:tcPr>
          <w:p>
            <w:r/>
            <w:r>
              <w:rPr>
                <w:rFonts w:ascii="Avenir Next LT Pro" w:hAnsi="Avenir Next LT Pro"/>
                <w:b w:val="0"/>
                <w:color w:val="1C4076"/>
                <w:sz w:val="17"/>
              </w:rPr>
              <w:t>3.5. Evaluation of the board of directors and the executive management</w:t>
            </w:r>
          </w:p>
        </w:tc>
      </w:tr>
      <w:tr>
        <w:tc>
          <w:tcPr>
            <w:tcW w:type="dxa" w:w="2551"/>
          </w:tcPr>
          <w:p>
            <w:r/>
            <w:r>
              <w:rPr>
                <w:rFonts w:ascii="Avenir Next LT Pro" w:hAnsi="Avenir Next LT Pro"/>
                <w:b w:val="0"/>
                <w:color w:val="1C4076"/>
                <w:sz w:val="17"/>
              </w:rPr>
              <w:t>3.5.1. The Committee recommends that the board of directors once a year evaluates the board of directors and at least every three years engages external assistance in the evaluation.</w:t>
              <w:br/>
              <w:t>The Committee recommends that the evaluation focuses on the recommendations on the board of directors’ work, efficiency, composition and organisation, cf. recommendations 3.1.-3.4. above, and that the evaluation as a minimum always includes the following topics:</w:t>
              <w:br/>
              <w:t>• the composition of the board of directors with focus on competencies and diversity</w:t>
              <w:br/>
              <w:t>• the board of directors and the individual member’s contribution and results,</w:t>
              <w:br/>
              <w:t>• the cooperation on the board of directors and between the board of directors and the executive management,</w:t>
              <w:br/>
              <w:t>• the chairperson’s leadership of the board of directors,</w:t>
              <w:br/>
              <w:t>• the committee structure and the work in the committees,</w:t>
              <w:br/>
              <w:t>• the organisation of the work of the board of directors and the quality of the material provided to the board of directors, and</w:t>
              <w:br/>
              <w:t>• the board members’ preparation for and active participation in the meetings of the board of directors.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3.5.2. The Committee recommends that the entire board of directors discusses the result of the evaluation of the board of directors and that the procedure for the evaluation and the general conclusions of the evaluation are described in the management commentary, on the company’s website and at the company’s general meeting.</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3.5.3. The Committee recommends that the board of directors at least once a year evaluates the work and results of the executive management according to pre-established criteria, and that the chairperson reviews the evaluation together with the executive management. In addition, the board of directors should on a continuous basis assess the need for changes in the structure and composition of the executive management, including in respect of diversity, succession planning and risks, in light of the company’s strategy.</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 Remuneration of management</w:t>
            </w:r>
          </w:p>
        </w:tc>
        <w:tc>
          <w:tcPr>
            <w:tcW w:type="dxa" w:w="2551"/>
          </w:tcPr>
          <w:p>
            <w:r/>
            <w:r>
              <w:rPr>
                <w:rFonts w:ascii="Avenir Next LT Pro" w:hAnsi="Avenir Next LT Pro"/>
                <w:b w:val="0"/>
                <w:color w:val="1C4076"/>
                <w:sz w:val="17"/>
              </w:rPr>
              <w:t>4. Remuneration of management</w:t>
            </w:r>
          </w:p>
        </w:tc>
        <w:tc>
          <w:tcPr>
            <w:tcW w:type="dxa" w:w="2551"/>
          </w:tcPr>
          <w:p>
            <w:r/>
            <w:r>
              <w:rPr>
                <w:rFonts w:ascii="Avenir Next LT Pro" w:hAnsi="Avenir Next LT Pro"/>
                <w:b w:val="0"/>
                <w:color w:val="1C4076"/>
                <w:sz w:val="17"/>
              </w:rPr>
              <w:t>4. Remuneration of management</w:t>
            </w:r>
          </w:p>
        </w:tc>
        <w:tc>
          <w:tcPr>
            <w:tcW w:type="dxa" w:w="2551"/>
          </w:tcPr>
          <w:p>
            <w:r/>
            <w:r>
              <w:rPr>
                <w:rFonts w:ascii="Avenir Next LT Pro" w:hAnsi="Avenir Next LT Pro"/>
                <w:b w:val="0"/>
                <w:color w:val="1C4076"/>
                <w:sz w:val="17"/>
              </w:rPr>
              <w:t>4. Remuneration of management</w:t>
            </w:r>
          </w:p>
        </w:tc>
      </w:tr>
      <w:tr>
        <w:tc>
          <w:tcPr>
            <w:tcW w:type="dxa" w:w="2551"/>
          </w:tcPr>
          <w:p>
            <w:r/>
            <w:r>
              <w:rPr>
                <w:rFonts w:ascii="Avenir Next LT Pro" w:hAnsi="Avenir Next LT Pro"/>
                <w:b w:val="0"/>
                <w:color w:val="1C4076"/>
                <w:sz w:val="17"/>
              </w:rPr>
              <w:t>4.1. Remuneration of the board of directors and the executive management</w:t>
            </w:r>
          </w:p>
        </w:tc>
        <w:tc>
          <w:tcPr>
            <w:tcW w:type="dxa" w:w="2551"/>
          </w:tcPr>
          <w:p>
            <w:r/>
            <w:r>
              <w:rPr>
                <w:rFonts w:ascii="Avenir Next LT Pro" w:hAnsi="Avenir Next LT Pro"/>
                <w:b w:val="0"/>
                <w:color w:val="1C4076"/>
                <w:sz w:val="17"/>
              </w:rPr>
              <w:t>4.1. Remuneration of the board of directors and the executive management</w:t>
            </w:r>
          </w:p>
        </w:tc>
        <w:tc>
          <w:tcPr>
            <w:tcW w:type="dxa" w:w="2551"/>
          </w:tcPr>
          <w:p>
            <w:r/>
            <w:r>
              <w:rPr>
                <w:rFonts w:ascii="Avenir Next LT Pro" w:hAnsi="Avenir Next LT Pro"/>
                <w:b w:val="0"/>
                <w:color w:val="1C4076"/>
                <w:sz w:val="17"/>
              </w:rPr>
              <w:t>4.1. Remuneration of the board of directors and the executive management</w:t>
            </w:r>
          </w:p>
        </w:tc>
        <w:tc>
          <w:tcPr>
            <w:tcW w:type="dxa" w:w="2551"/>
          </w:tcPr>
          <w:p>
            <w:r/>
            <w:r>
              <w:rPr>
                <w:rFonts w:ascii="Avenir Next LT Pro" w:hAnsi="Avenir Next LT Pro"/>
                <w:b w:val="0"/>
                <w:color w:val="1C4076"/>
                <w:sz w:val="17"/>
              </w:rPr>
              <w:t>4.1. Remuneration of the board of directors and the executive management</w:t>
            </w:r>
          </w:p>
        </w:tc>
      </w:tr>
      <w:tr>
        <w:tc>
          <w:tcPr>
            <w:tcW w:type="dxa" w:w="2551"/>
          </w:tcPr>
          <w:p>
            <w:r/>
            <w:r>
              <w:rPr>
                <w:rFonts w:ascii="Avenir Next LT Pro" w:hAnsi="Avenir Next LT Pro"/>
                <w:b w:val="0"/>
                <w:color w:val="1C4076"/>
                <w:sz w:val="17"/>
              </w:rPr>
              <w:t>4.1.1. The Committee recommends that the remuneration for the board of directors and the executive management and the other terms of employment/service is considered competitive and consistent with the company’s long-term shareholder interests.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4.1.2. The Committee recommends that share-based incentive schemes are revolving, i.e. that they are periodically granted, and that they primarily consist of long-term schemes with a vesting or maturity period of at least three years.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4.1.3. The Committee recommends that the variable part of the remuneration has a cap at the time of grant, and that there is transparency in respect of the potential value at the time of exercise under pessimistic, expected and optimistic scenarios.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4.1.4. The Committee recommends that the overall value of the remuneration for the notice period, including severance payment, in connection with a member of the executive management’s departure, does not exceed two years’ remuneration including all remuneration elements.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4.1.5. The Committee recommends that members of the board of directors are not remunerated with share options and warrants.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4.1.6. The Committee recommends that the company has the option to reclaim, in whole or in part, variable remuneration from the board of directors and the executive management if the remuneration granted, earned or paid was based on information, which subsequently proves to be incorrect, or if the recipient acted in bad faith in respect of other matters, which implied payment of a too large variable remuneration.</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5. Risk management</w:t>
            </w:r>
          </w:p>
        </w:tc>
        <w:tc>
          <w:tcPr>
            <w:tcW w:type="dxa" w:w="2551"/>
          </w:tcPr>
          <w:p>
            <w:r/>
            <w:r>
              <w:rPr>
                <w:rFonts w:ascii="Avenir Next LT Pro" w:hAnsi="Avenir Next LT Pro"/>
                <w:b w:val="0"/>
                <w:color w:val="1C4076"/>
                <w:sz w:val="17"/>
              </w:rPr>
              <w:t>5. Risk management</w:t>
            </w:r>
          </w:p>
        </w:tc>
        <w:tc>
          <w:tcPr>
            <w:tcW w:type="dxa" w:w="2551"/>
          </w:tcPr>
          <w:p>
            <w:r/>
            <w:r>
              <w:rPr>
                <w:rFonts w:ascii="Avenir Next LT Pro" w:hAnsi="Avenir Next LT Pro"/>
                <w:b w:val="0"/>
                <w:color w:val="1C4076"/>
                <w:sz w:val="17"/>
              </w:rPr>
              <w:t>5. Risk management</w:t>
            </w:r>
          </w:p>
        </w:tc>
        <w:tc>
          <w:tcPr>
            <w:tcW w:type="dxa" w:w="2551"/>
          </w:tcPr>
          <w:p>
            <w:r/>
            <w:r>
              <w:rPr>
                <w:rFonts w:ascii="Avenir Next LT Pro" w:hAnsi="Avenir Next LT Pro"/>
                <w:b w:val="0"/>
                <w:color w:val="1C4076"/>
                <w:sz w:val="17"/>
              </w:rPr>
              <w:t>5. Risk management</w:t>
            </w:r>
          </w:p>
        </w:tc>
      </w:tr>
      <w:tr>
        <w:tc>
          <w:tcPr>
            <w:tcW w:type="dxa" w:w="2551"/>
          </w:tcPr>
          <w:p>
            <w:r/>
            <w:r>
              <w:rPr>
                <w:rFonts w:ascii="Avenir Next LT Pro" w:hAnsi="Avenir Next LT Pro"/>
                <w:b w:val="0"/>
                <w:color w:val="1C4076"/>
                <w:sz w:val="17"/>
              </w:rPr>
              <w:t>5.1. Identification of risks and openness in respect of additional information</w:t>
            </w:r>
          </w:p>
        </w:tc>
        <w:tc>
          <w:tcPr>
            <w:tcW w:type="dxa" w:w="2551"/>
          </w:tcPr>
          <w:p>
            <w:r/>
            <w:r>
              <w:rPr>
                <w:rFonts w:ascii="Avenir Next LT Pro" w:hAnsi="Avenir Next LT Pro"/>
                <w:b w:val="0"/>
                <w:color w:val="1C4076"/>
                <w:sz w:val="17"/>
              </w:rPr>
              <w:t>5.1. Identification of risks and openness in respect of additional information</w:t>
            </w:r>
          </w:p>
        </w:tc>
        <w:tc>
          <w:tcPr>
            <w:tcW w:type="dxa" w:w="2551"/>
          </w:tcPr>
          <w:p>
            <w:r/>
            <w:r>
              <w:rPr>
                <w:rFonts w:ascii="Avenir Next LT Pro" w:hAnsi="Avenir Next LT Pro"/>
                <w:b w:val="0"/>
                <w:color w:val="1C4076"/>
                <w:sz w:val="17"/>
              </w:rPr>
              <w:t>5.1. Identification of risks and openness in respect of additional information</w:t>
            </w:r>
          </w:p>
        </w:tc>
        <w:tc>
          <w:tcPr>
            <w:tcW w:type="dxa" w:w="2551"/>
          </w:tcPr>
          <w:p>
            <w:r/>
            <w:r>
              <w:rPr>
                <w:rFonts w:ascii="Avenir Next LT Pro" w:hAnsi="Avenir Next LT Pro"/>
                <w:b w:val="0"/>
                <w:color w:val="1C4076"/>
                <w:sz w:val="17"/>
              </w:rPr>
              <w:t>5.1. Identification of risks and openness in respect of additional information</w:t>
            </w:r>
          </w:p>
        </w:tc>
      </w:tr>
      <w:tr>
        <w:tc>
          <w:tcPr>
            <w:tcW w:type="dxa" w:w="2551"/>
          </w:tcPr>
          <w:p>
            <w:r/>
            <w:r>
              <w:rPr>
                <w:rFonts w:ascii="Avenir Next LT Pro" w:hAnsi="Avenir Next LT Pro"/>
                <w:b w:val="0"/>
                <w:color w:val="1C4076"/>
                <w:sz w:val="17"/>
              </w:rPr>
              <w:t>5.1.1. The Committee recommends that the board of directors based on the company’s strategy and business model considers, for instance, the most significant strategic, business, accounting and liquidity risks. The company should in the management commentary give an account of these risks and the company’s risk management.</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r>
        <w:tc>
          <w:tcPr>
            <w:tcW w:type="dxa" w:w="2551"/>
          </w:tcPr>
          <w:p>
            <w:r/>
            <w:r>
              <w:rPr>
                <w:rFonts w:ascii="Avenir Next LT Pro" w:hAnsi="Avenir Next LT Pro"/>
                <w:b w:val="0"/>
                <w:color w:val="1C4076"/>
                <w:sz w:val="17"/>
              </w:rPr>
              <w:t>5.1.2. The Committee recommends that the board of directors establishes a whistleblower scheme, giving the employees and other stakeholders the opportunity to report serious violations or suspicion thereof in an expedient and confidential manner, and that a procedure is in place for handling such whistleblower cases.</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r>
          </w:p>
        </w:tc>
      </w:tr>
    </w:tbl>
    <w:p>
      <w:pPr>
        <w:keepNext/>
        <w:spacing w:before="260" w:after="160"/>
      </w:pPr>
      <w:r>
        <w:rPr>
          <w:rFonts w:ascii="Avenir Next LT Pro" w:hAnsi="Avenir Next LT Pro"/>
          <w:b/>
          <w:color w:val="1C4076"/>
          <w:sz w:val="28"/>
        </w:rPr>
        <w:t>Management structure</w:t>
      </w:r>
    </w:p>
    <w:p>
      <w:pPr>
        <w:spacing w:after="200"/>
        <w:jc w:val="both"/>
      </w:pPr>
      <w:r>
        <w:rPr>
          <w:rFonts w:ascii="Avenir Next LT Pro" w:hAnsi="Avenir Next LT Pro"/>
          <w:b w:val="0"/>
          <w:color w:val="1C4076"/>
          <w:sz w:val="22"/>
        </w:rPr>
        <w:t>BioMar has a two-tier management structure consisting of the Board of Directors and the Executive Management. The two bodies are separate and have no overlapping members. The Board of Directors is responsible for the overall and strategic management and proper organisation of BioMar’s business and operations, and it supervises BioMar’s activities, management, and organisation. The Board of Directors appoints and dismisses the members of the Executive Management, who are responsible for the day-to-day management of BioMar assisted by the Executive Committee.</w:t>
      </w:r>
    </w:p>
    <w:p>
      <w:pPr>
        <w:keepNext/>
        <w:spacing w:before="260" w:after="160"/>
      </w:pPr>
      <w:r>
        <w:rPr>
          <w:rFonts w:ascii="Avenir Next LT Pro" w:hAnsi="Avenir Next LT Pro"/>
          <w:b/>
          <w:color w:val="1C4076"/>
          <w:sz w:val="28"/>
        </w:rPr>
        <w:t>Board of Directors</w:t>
      </w:r>
    </w:p>
    <w:p>
      <w:pPr>
        <w:spacing w:after="200"/>
        <w:jc w:val="both"/>
      </w:pPr>
      <w:r>
        <w:rPr>
          <w:rFonts w:ascii="Avenir Next LT Pro" w:hAnsi="Avenir Next LT Pro"/>
          <w:b w:val="0"/>
          <w:color w:val="1C4076"/>
          <w:sz w:val="22"/>
        </w:rPr>
        <w:t>Pursuant to the Articles of Association, the Board of Directors shall consist of not less than four and not more than seven members elected by the general meeting. Currently, the Board of Directors consists of six members elected by the general meeting. The Board of Directors elects a Chair and a Vice Chair of the Board of Directors among its members. Under the current Danish Corporate Governance Recommendations, three members of the Board of Directors have been assessed by BioMar to be independent.</w:t>
      </w:r>
    </w:p>
    <w:p>
      <w:pPr>
        <w:spacing w:after="200"/>
        <w:jc w:val="both"/>
      </w:pPr>
      <w:r>
        <w:rPr>
          <w:rFonts w:ascii="Avenir Next LT Pro" w:hAnsi="Avenir Next LT Pro"/>
          <w:b w:val="0"/>
          <w:color w:val="1C4076"/>
          <w:sz w:val="22"/>
        </w:rPr>
        <w:t>The members of the Board of Directors elected by the general meeting are elected for a term of one year until the next annual general meeting. Members of the Board of Directors may be re-elected.</w:t>
      </w:r>
    </w:p>
    <w:p>
      <w:pPr>
        <w:spacing w:after="200"/>
        <w:jc w:val="both"/>
      </w:pPr>
      <w:r>
        <w:rPr>
          <w:rFonts w:ascii="Avenir Next LT Pro" w:hAnsi="Avenir Next LT Pro"/>
          <w:b w:val="0"/>
          <w:color w:val="1C4076"/>
          <w:sz w:val="22"/>
        </w:rPr>
        <w:t>The Board of Directors plans to convene at least four times per year, including a yearly strategy session and ad hoc meetings as required.</w:t>
      </w:r>
    </w:p>
    <w:p>
      <w:pPr>
        <w:keepNext/>
        <w:spacing w:before="260" w:after="160"/>
      </w:pPr>
      <w:r>
        <w:rPr>
          <w:rFonts w:ascii="Avenir Next LT Pro" w:hAnsi="Avenir Next LT Pro"/>
          <w:b/>
          <w:color w:val="1C4076"/>
          <w:sz w:val="28"/>
        </w:rPr>
        <w:t>Board committees</w:t>
      </w:r>
    </w:p>
    <w:p>
      <w:pPr>
        <w:spacing w:after="200"/>
        <w:jc w:val="both"/>
      </w:pPr>
      <w:r>
        <w:rPr>
          <w:rFonts w:ascii="Avenir Next LT Pro" w:hAnsi="Avenir Next LT Pro"/>
          <w:b w:val="0"/>
          <w:color w:val="1C4076"/>
          <w:sz w:val="22"/>
        </w:rPr>
        <w:t>The Board of Directors has established an Audit Committee and a Remuneration and Nomination Committee, each of which has a charter setting forth its purpose and responsibilities. All board committees report and make recommendations to the Board of Directors</w:t>
      </w:r>
    </w:p>
    <w:p>
      <w:pPr>
        <w:spacing w:after="200"/>
        <w:jc w:val="both"/>
      </w:pPr>
      <w:r>
        <w:rPr>
          <w:rFonts w:ascii="Avenir Next LT Pro" w:hAnsi="Avenir Next LT Pro"/>
          <w:b w:val="0"/>
          <w:color w:val="1C4076"/>
          <w:sz w:val="22"/>
        </w:rPr>
        <w:t>3.1 Audit Committee</w:t>
      </w:r>
    </w:p>
    <w:p>
      <w:pPr>
        <w:spacing w:after="200"/>
        <w:jc w:val="both"/>
      </w:pPr>
      <w:r>
        <w:rPr>
          <w:rFonts w:ascii="Avenir Next LT Pro" w:hAnsi="Avenir Next LT Pro"/>
          <w:b w:val="0"/>
          <w:color w:val="1C4076"/>
          <w:sz w:val="22"/>
        </w:rPr>
        <w:t>The Audit Committee shall consist of no less than two members appointed by and among the Board of Directors. Currently, the Audit Committee consists of two members. The overall purpose of the Audit Committee is to review the Company’s accounting and audit matters that require, by decision of the Board of Directors or the Audit Committee, a more thorough evaluation, and to review and supervise the Company’s financial and sustainability reporting and reporting process. Further, the Audit Committee shall assess the internal controls and risk management systems of the Company, and supervise the process with external auditors, including in relation to independence and review of the audit process.</w:t>
      </w:r>
    </w:p>
    <w:p>
      <w:pPr>
        <w:spacing w:after="200"/>
        <w:jc w:val="both"/>
      </w:pPr>
      <w:r>
        <w:rPr>
          <w:rFonts w:ascii="Avenir Next LT Pro" w:hAnsi="Avenir Next LT Pro"/>
          <w:b w:val="0"/>
          <w:color w:val="1C4076"/>
          <w:sz w:val="22"/>
        </w:rPr>
        <w:t>The Audit Committee shall convene when it is deemed necessary or appropriate, however it is expected to convene at least four times a year. BioMar’s Chief Financial Officer shall attend the meetings of the Audit Committee, unless otherwise requested by the Audit Committee. The Executive Management, the head of the Company’s accounting function and the Company’s external auditors shall attend the meetings of the Audit Committee if so requested by the Audit Committee. The external auditor shall attend at least one meeting a year or the relevant part hereof where the Executive Management is not present. Members of the Board of Directors, the Chief Executive Officer, relevant employees of the Company and external parties (e.g. advisers) may participate in the meetings of the Audit Committee upon invitation.</w:t>
      </w:r>
    </w:p>
    <w:p>
      <w:pPr>
        <w:spacing w:after="200"/>
        <w:jc w:val="both"/>
      </w:pPr>
      <w:r>
        <w:rPr>
          <w:rFonts w:ascii="Avenir Next LT Pro" w:hAnsi="Avenir Next LT Pro"/>
          <w:b w:val="0"/>
          <w:color w:val="1C4076"/>
          <w:sz w:val="22"/>
        </w:rPr>
        <w:t>The majority of the members of the Audit Committee are considered independent.</w:t>
      </w:r>
    </w:p>
    <w:p>
      <w:pPr>
        <w:spacing w:after="200"/>
        <w:jc w:val="both"/>
      </w:pPr>
      <w:r>
        <w:rPr>
          <w:rFonts w:ascii="Avenir Next LT Pro" w:hAnsi="Avenir Next LT Pro"/>
          <w:b w:val="0"/>
          <w:color w:val="1C4076"/>
          <w:sz w:val="22"/>
        </w:rPr>
        <w:t>3.2 Remuneration and Nomination Committee</w:t>
      </w:r>
    </w:p>
    <w:p>
      <w:pPr>
        <w:spacing w:after="200"/>
        <w:jc w:val="both"/>
      </w:pPr>
      <w:r>
        <w:rPr>
          <w:rFonts w:ascii="Avenir Next LT Pro" w:hAnsi="Avenir Next LT Pro"/>
          <w:b w:val="0"/>
          <w:color w:val="1C4076"/>
          <w:sz w:val="22"/>
        </w:rPr>
        <w:t>The Remuneration and Nomination Committee shall consist of no less than two members appointed by and among the Board of Directors. Currently, the Remuneration and Nomination Committee consists of two members. The overall purpose of the Remuneration and Nomination Committee is, in respect of remuneration matters, to assist the Board of Directors with matters related to the framework and overall principles for the remuneration of the Board of Directors and Executive Management, including preparing and reviewing the Company’s remuneration policy as well as reviewing the remuneration report. The Remuneration and Nomination Committee shall evaluate and make recommendations for the remuneration of the members of the Board of Directors and the Executive Management. Furthermore, in respect of nomination matters, the Remuneration and Nomination Committee assists the Board of Directors with ensuring that appropriate plans and processes are in place for nomination of candidates to the Board of Directors, the Executive Management and the board committees and the Remuneration and Nomination Committee shall evaluate the composition of the Board of Directors and the Executive Management and assist with the annual evaluation of the Board of Directors. This includes making recommendations for nomination or appointment of members of (a) the Board of Directors, (b) the Executive Management and (c) the committees established by the Board of Directors.</w:t>
      </w:r>
    </w:p>
    <w:p>
      <w:pPr>
        <w:spacing w:after="200"/>
        <w:jc w:val="both"/>
      </w:pPr>
      <w:r>
        <w:rPr>
          <w:rFonts w:ascii="Avenir Next LT Pro" w:hAnsi="Avenir Next LT Pro"/>
          <w:b w:val="0"/>
          <w:color w:val="1C4076"/>
          <w:sz w:val="22"/>
        </w:rPr>
        <w:t>The Remuneration and Nomination Committee shall convene when it is deemed necessary or appropriate, however it is expected to convene at least one time a year. Members of the Board of Directors, the Executive Management, relevant employees and external parties (e.g. advisers) may participate in the meetings of the Remuneration and Nomination Committee upon invitation.</w:t>
      </w:r>
    </w:p>
    <w:p>
      <w:pPr>
        <w:spacing w:after="200"/>
        <w:jc w:val="both"/>
      </w:pPr>
      <w:r>
        <w:rPr>
          <w:rFonts w:ascii="Avenir Next LT Pro" w:hAnsi="Avenir Next LT Pro"/>
          <w:b w:val="0"/>
          <w:color w:val="1C4076"/>
          <w:sz w:val="22"/>
        </w:rPr>
        <w:t>The majority of the members of the Remuneration and Nomination Committee are not considered independent, as only one of two members are considered independent.</w:t>
      </w:r>
    </w:p>
    <w:p>
      <w:pPr>
        <w:keepNext/>
        <w:spacing w:before="260" w:after="160"/>
      </w:pPr>
      <w:r>
        <w:rPr>
          <w:rFonts w:ascii="Avenir Next LT Pro" w:hAnsi="Avenir Next LT Pro"/>
          <w:b/>
          <w:color w:val="1C4076"/>
          <w:sz w:val="28"/>
        </w:rPr>
        <w:t>Executive Management</w:t>
      </w:r>
    </w:p>
    <w:p>
      <w:pPr>
        <w:spacing w:after="200"/>
        <w:jc w:val="both"/>
      </w:pPr>
      <w:r>
        <w:rPr>
          <w:rFonts w:ascii="Avenir Next LT Pro" w:hAnsi="Avenir Next LT Pro"/>
          <w:b w:val="0"/>
          <w:color w:val="1C4076"/>
          <w:sz w:val="22"/>
        </w:rPr>
        <w:t>Pursuant to the Company’s Articles of Association, the Executive Management shall consist of one or more members appointed by the Board of Directors. Currently, the Executive Management consists of two members, the Chief Executive Officer and the Chief Financial Officer, who are responsible for the day-to-day management of BioMar’s business and compliance with the procedures, instructions, guidelines, and recommendations issued by the Board of Directors. The Executive Management’s responsibilities include, inter alia, organisation of BioMar as well as allocation of resources, determination and implementation of strategies and policies and ensuring timely reporting to the Board of Directors. The Executive Management also presents and recommends proposals on the overall strategy and objectives to the Board of Directors.</w:t>
      </w:r>
    </w:p>
    <w:p>
      <w:pPr>
        <w:keepNext/>
        <w:spacing w:before="260" w:after="160"/>
      </w:pPr>
      <w:r>
        <w:rPr>
          <w:rFonts w:ascii="Avenir Next LT Pro" w:hAnsi="Avenir Next LT Pro"/>
          <w:b/>
          <w:color w:val="1C4076"/>
          <w:sz w:val="28"/>
        </w:rPr>
        <w:t>Internal control and financial reporting procedures</w:t>
      </w:r>
    </w:p>
    <w:p>
      <w:pPr>
        <w:spacing w:after="200"/>
        <w:jc w:val="both"/>
      </w:pPr>
      <w:r>
        <w:rPr>
          <w:rFonts w:ascii="Avenir Next LT Pro" w:hAnsi="Avenir Next LT Pro"/>
          <w:b w:val="0"/>
          <w:color w:val="1C4076"/>
          <w:sz w:val="22"/>
        </w:rPr>
        <w:t>The Board of Directors and the Executive Management are responsible for BioMar’s risk management and internal controls in relation to its financial reporting and approve the Company’s general policies in this regard. The Audit Committee assists the Board of Directors in overseeing the financial reporting process and the most important risks involved in this respect. The Executive Management is responsible for the effectiveness of the internal controls and risk management and for the implementation of such controls aimed at mitigating the risk associated with the financial reporting. BioMar has implemented internal control systems and financial reporting procedures intended to ensure effective oversight of its financial performance, operational activities, funding arrangements, and risk exposures. These procedures are designed to support the integrity and reliability of the Company’s financial disclosures in accordance with applicable regulatory standards. Currently, BioMar has not considered it relevant to establish an internal audit function. The Board of Directors will continuously review the need for such function in light of the Company’s growth, complexity, and evolving governance requirements.</w:t>
      </w:r>
    </w:p>
    <w:p>
      <w:pPr>
        <w:keepNext/>
        <w:spacing w:before="260" w:after="160"/>
      </w:pPr>
      <w:r>
        <w:rPr>
          <w:rFonts w:ascii="Avenir Next LT Pro" w:hAnsi="Avenir Next LT Pro"/>
          <w:b/>
          <w:color w:val="1C4076"/>
          <w:sz w:val="28"/>
        </w:rPr>
        <w:t>Danish Corporate Governance Recommendations</w:t>
      </w:r>
    </w:p>
    <w:p>
      <w:pPr>
        <w:spacing w:after="200"/>
        <w:jc w:val="both"/>
      </w:pPr>
      <w:r>
        <w:rPr>
          <w:rFonts w:ascii="Avenir Next LT Pro" w:hAnsi="Avenir Next LT Pro"/>
          <w:b w:val="0"/>
          <w:color w:val="1C4076"/>
          <w:sz w:val="22"/>
        </w:rPr>
        <w:t>BioMar will be subject to the Danish Corporate Governance Recommendations, which are available on the Committee on Corporate Governance’s website www.corporategovernance.dk. As a company listed on Nasdaq Copenhagen, BioMar will be required to report on its compliance with these recommendations according to the “comply or explain” principle. BioMar’s position on each recommendation is described in the following and reflects the situation at the time of the reporting.</w:t>
      </w:r>
    </w:p>
    <w:p>
      <w:pPr>
        <w:pStyle w:val="ListBullet"/>
        <w:spacing w:after="80"/>
      </w:pPr>
      <w:r>
        <w:rPr>
          <w:rFonts w:ascii="Avenir Next LT Pro" w:hAnsi="Avenir Next LT Pro"/>
          <w:b w:val="0"/>
          <w:color w:val="1C4076"/>
          <w:sz w:val="22"/>
        </w:rPr>
        <w:t>BioMar complies with all of the Danish Recommendations on Corporate Governance except for one recommendation (no. 3.4.2) as follows: The majority of the members of the Remuneration and Nomination Committee are not considered independent as only one of two members is considered independent. The composition of the board committees is determined by the Board of Directors based on a number of criteria and considerations, including competences and capabilities as well as the Company’s shareholder composition. Independency is an important part of such assessment, but the Board of Directors does not believe that it should be the only decisive factor when assessing the optimal composition of its committees. In particular in relation to the Remuneration and Nomination Committee, the Board of Directors finds it important that at least one board member associated with the majority shareholder is represented in the Company’s Remuneration and Nomination Committee.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Corporate Governance Statement</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