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7560000" cy="10690955"/>
            <wp:docPr id="1" name="Picture 1"/>
            <wp:cNvGraphicFramePr>
              <a:graphicFrameLocks noChangeAspect="1"/>
            </wp:cNvGraphicFramePr>
            <a:graphic>
              <a:graphicData uri="http://schemas.openxmlformats.org/drawingml/2006/picture">
                <pic:pic>
                  <pic:nvPicPr>
                    <pic:cNvPr id="0" name="tmpag7orpgz.png"/>
                    <pic:cNvPicPr/>
                  </pic:nvPicPr>
                  <pic:blipFill>
                    <a:blip r:embed="rId9"/>
                    <a:stretch>
                      <a:fillRect/>
                    </a:stretch>
                  </pic:blipFill>
                  <pic:spPr>
                    <a:xfrm>
                      <a:off x="0" y="0"/>
                      <a:ext cx="7560000" cy="10690955"/>
                    </a:xfrm>
                    <a:prstGeom prst="rect"/>
                  </pic:spPr>
                </pic:pic>
              </a:graphicData>
            </a:graphic>
          </wp:inline>
        </w:drawing>
      </w:r>
    </w:p>
    <w:p>
      <w:pPr>
        <w:sectPr>
          <w:pgSz w:w="11906" w:h="16838"/>
          <w:pgMar w:top="0" w:right="0" w:bottom="0" w:left="0" w:header="0" w:footer="0" w:gutter="0"/>
          <w:cols w:space="720"/>
          <w:docGrid w:linePitch="360"/>
        </w:sectPr>
      </w:pPr>
    </w:p>
    <w:p>
      <w:pPr>
        <w:keepNext/>
        <w:spacing w:before="260" w:after="160"/>
      </w:pPr>
      <w:r>
        <w:rPr>
          <w:rFonts w:ascii="Avenir Next LT Pro" w:hAnsi="Avenir Next LT Pro"/>
          <w:b/>
          <w:color w:val="1C4076"/>
          <w:sz w:val="28"/>
        </w:rPr>
        <w:t>Introduction</w:t>
      </w:r>
    </w:p>
    <w:p>
      <w:pPr>
        <w:spacing w:after="200"/>
        <w:jc w:val="both"/>
      </w:pPr>
      <w:r>
        <w:rPr>
          <w:rFonts w:ascii="Avenir Next LT Pro" w:hAnsi="Avenir Next LT Pro"/>
          <w:b w:val="0"/>
          <w:color w:val="1C4076"/>
          <w:sz w:val="22"/>
        </w:rPr>
        <w:t>In BioMar, we have a fundamental belief that results are created by people. BioMar considers diversity a strength which makes a positive contribution to growth and value creation for the company. We believe diversity, equality and inclusion are fundamental drivers for unlocking the full human potential of society.</w:t>
      </w:r>
    </w:p>
    <w:p>
      <w:pPr>
        <w:spacing w:after="200"/>
        <w:jc w:val="both"/>
      </w:pPr>
      <w:r>
        <w:rPr>
          <w:rFonts w:ascii="Avenir Next LT Pro" w:hAnsi="Avenir Next LT Pro"/>
          <w:b w:val="0"/>
          <w:color w:val="1C4076"/>
          <w:sz w:val="22"/>
        </w:rPr>
        <w:t>As a socially responsible company, we are committed to facilitating that underrepresented talent thrives, experience development opportunities, and is being selected into relevant roles. We are committed to ensuring diversity is being promoted across all management levels and all employee groups, encouraging our business partners to actively pursue diversity, equity and inclusion in their organisations.</w:t>
      </w:r>
    </w:p>
    <w:p>
      <w:pPr>
        <w:spacing w:after="200"/>
        <w:jc w:val="both"/>
      </w:pPr>
      <w:r>
        <w:rPr>
          <w:rFonts w:ascii="Avenir Next LT Pro" w:hAnsi="Avenir Next LT Pro"/>
          <w:b w:val="0"/>
          <w:color w:val="1C4076"/>
          <w:sz w:val="22"/>
        </w:rPr>
        <w:t>Diversity is broadly defined as the presence of a wide range of different characteristics, backgrounds and perspectives such as professional background, seniority, education, age, gender, nationality, ethnicity, religion, sexual orientation, and physical/mental ability.</w:t>
      </w:r>
    </w:p>
    <w:p>
      <w:pPr>
        <w:keepNext/>
        <w:spacing w:before="260" w:after="160"/>
      </w:pPr>
      <w:r>
        <w:rPr>
          <w:rFonts w:ascii="Avenir Next LT Pro" w:hAnsi="Avenir Next LT Pro"/>
          <w:b/>
          <w:color w:val="1C4076"/>
          <w:sz w:val="28"/>
        </w:rPr>
        <w:t>Our commitment</w:t>
      </w:r>
    </w:p>
    <w:p>
      <w:pPr>
        <w:spacing w:after="200"/>
        <w:jc w:val="both"/>
      </w:pPr>
      <w:r>
        <w:rPr>
          <w:rFonts w:ascii="Avenir Next LT Pro" w:hAnsi="Avenir Next LT Pro"/>
          <w:b w:val="0"/>
          <w:color w:val="1C4076"/>
          <w:sz w:val="22"/>
        </w:rPr>
        <w:t>BioMar is committed to promoting value creation in the group through encouraging collaboration between people with different backgrounds. Diversity in the employee composition is a supporting factor for breadth and variation of expertise, enhancing innovation, engagement and qualified decision making.</w:t>
      </w:r>
    </w:p>
    <w:p>
      <w:pPr>
        <w:spacing w:after="200"/>
        <w:jc w:val="both"/>
      </w:pPr>
      <w:r>
        <w:rPr>
          <w:rFonts w:ascii="Avenir Next LT Pro" w:hAnsi="Avenir Next LT Pro"/>
          <w:b w:val="0"/>
          <w:color w:val="1C4076"/>
          <w:sz w:val="22"/>
        </w:rPr>
        <w:t>The purpose of BioMar’s targets and efforts on diversity is to ensure a corporate culture supporting diversity. We strive to minimize barriers of conscious and unconscious bias which could potentially restrict diversity or counteract equal employment or career opportunities. This also includes efforts to support balanced gender representation at management levels in accordance with applicable legislation.</w:t>
      </w:r>
    </w:p>
    <w:p>
      <w:pPr>
        <w:spacing w:after="200"/>
        <w:jc w:val="both"/>
      </w:pPr>
      <w:r>
        <w:rPr>
          <w:rFonts w:ascii="Avenir Next LT Pro" w:hAnsi="Avenir Next LT Pro"/>
          <w:b w:val="0"/>
          <w:color w:val="1C4076"/>
          <w:sz w:val="22"/>
        </w:rPr>
        <w:t>It is our principles that:</w:t>
      </w:r>
    </w:p>
    <w:p>
      <w:pPr>
        <w:pStyle w:val="ListBullet"/>
        <w:spacing w:after="80"/>
      </w:pPr>
      <w:r>
        <w:rPr>
          <w:rFonts w:ascii="Avenir Next LT Pro" w:hAnsi="Avenir Next LT Pro"/>
          <w:b w:val="0"/>
          <w:color w:val="1C4076"/>
          <w:sz w:val="22"/>
        </w:rPr>
        <w:t>We strive for diversity, equality, and inclusion at all levels in the organisation</w:t>
      </w:r>
    </w:p>
    <w:p>
      <w:pPr>
        <w:pStyle w:val="ListBullet"/>
        <w:spacing w:after="80"/>
      </w:pPr>
      <w:r>
        <w:rPr>
          <w:rFonts w:ascii="Avenir Next LT Pro" w:hAnsi="Avenir Next LT Pro"/>
          <w:b w:val="0"/>
          <w:color w:val="1C4076"/>
          <w:sz w:val="22"/>
        </w:rPr>
        <w:t>We are committed to building a culture recognizing the inherent value of all human beings</w:t>
      </w:r>
    </w:p>
    <w:p>
      <w:pPr>
        <w:pStyle w:val="ListBullet"/>
        <w:spacing w:after="80"/>
      </w:pPr>
      <w:r>
        <w:rPr>
          <w:rFonts w:ascii="Avenir Next LT Pro" w:hAnsi="Avenir Next LT Pro"/>
          <w:b w:val="0"/>
          <w:color w:val="1C4076"/>
          <w:sz w:val="22"/>
        </w:rPr>
        <w:t>We strive to be flexible in supporting employee differences</w:t>
      </w:r>
    </w:p>
    <w:p>
      <w:pPr>
        <w:pStyle w:val="ListBullet"/>
        <w:spacing w:after="80"/>
      </w:pPr>
      <w:r>
        <w:rPr>
          <w:rFonts w:ascii="Avenir Next LT Pro" w:hAnsi="Avenir Next LT Pro"/>
          <w:b w:val="0"/>
          <w:color w:val="1C4076"/>
          <w:sz w:val="22"/>
        </w:rPr>
        <w:t>We train our managers to understand and act on the importance of diversity</w:t>
      </w:r>
    </w:p>
    <w:p>
      <w:pPr>
        <w:keepNext/>
        <w:spacing w:before="260" w:after="160"/>
      </w:pPr>
      <w:r>
        <w:rPr>
          <w:rFonts w:ascii="Avenir Next LT Pro" w:hAnsi="Avenir Next LT Pro"/>
          <w:b/>
          <w:color w:val="1C4076"/>
          <w:sz w:val="28"/>
        </w:rPr>
        <w:t>Inclusion of underrepresented talent</w:t>
      </w:r>
    </w:p>
    <w:p>
      <w:pPr>
        <w:spacing w:after="200"/>
        <w:jc w:val="both"/>
      </w:pPr>
      <w:r>
        <w:rPr>
          <w:rFonts w:ascii="Avenir Next LT Pro" w:hAnsi="Avenir Next LT Pro"/>
          <w:b w:val="0"/>
          <w:color w:val="1C4076"/>
          <w:sz w:val="22"/>
        </w:rPr>
        <w:t>BioMar aims to be a purpose-driven workplace where employees can make a real impact and feel a sense of belonging. We seek to provide equal career opportunities for everyone by promoting diversity through collaboration. We place particular emphasis on supporting the underrepresented gender to strengthen diversity and equity (see below on BioMar’s statutory obligations and initiatives on gender balance in management).</w:t>
      </w:r>
    </w:p>
    <w:p>
      <w:pPr>
        <w:spacing w:after="200"/>
        <w:jc w:val="both"/>
      </w:pPr>
      <w:r>
        <w:rPr>
          <w:rFonts w:ascii="Avenir Next LT Pro" w:hAnsi="Avenir Next LT Pro"/>
          <w:b w:val="0"/>
          <w:color w:val="1C4076"/>
          <w:sz w:val="22"/>
        </w:rPr>
        <w:t>Any talent process, such as hiring, developing, and promoting, must be designed and executed to ensure the best possible fit towards the criteria of the job and the future development of the company. This includes ensuring diversity in teams and workforce composition.</w:t>
      </w:r>
    </w:p>
    <w:p>
      <w:pPr>
        <w:spacing w:after="200"/>
        <w:jc w:val="both"/>
      </w:pPr>
      <w:r>
        <w:rPr>
          <w:rFonts w:ascii="Avenir Next LT Pro" w:hAnsi="Avenir Next LT Pro"/>
          <w:b w:val="0"/>
          <w:color w:val="1C4076"/>
          <w:sz w:val="22"/>
        </w:rPr>
        <w:t>We commit to measure and take action to ensure that all employees experience equal opportunities in respect to development opportunities and career advancement, regardless of background, personal life circumstances and other diversity factors.</w:t>
      </w:r>
    </w:p>
    <w:p>
      <w:pPr>
        <w:spacing w:after="200"/>
        <w:jc w:val="both"/>
      </w:pPr>
      <w:r>
        <w:rPr>
          <w:rFonts w:ascii="Avenir Next LT Pro" w:hAnsi="Avenir Next LT Pro"/>
          <w:b w:val="0"/>
          <w:color w:val="1C4076"/>
          <w:sz w:val="22"/>
        </w:rPr>
        <w:t>At the same time, we commit to safeguarding policies and practices for remuneration, which are gender neutral and to the widest extent possible support the principle of equal pay for work of equal value.</w:t>
      </w:r>
    </w:p>
    <w:p>
      <w:pPr>
        <w:spacing w:after="200"/>
        <w:jc w:val="both"/>
      </w:pPr>
      <w:r>
        <w:rPr>
          <w:rFonts w:ascii="Avenir Next LT Pro" w:hAnsi="Avenir Next LT Pro"/>
          <w:b w:val="0"/>
          <w:color w:val="1C4076"/>
          <w:sz w:val="22"/>
        </w:rPr>
        <w:t>Finally, we commit to building focus on work-life balance into the employee life cycle, ensuring that BioMar supports the foundation for a diverse workforce, where every employee experience to be included.</w:t>
      </w:r>
    </w:p>
    <w:p>
      <w:pPr>
        <w:keepNext/>
        <w:spacing w:before="260" w:after="160"/>
      </w:pPr>
      <w:r>
        <w:rPr>
          <w:rFonts w:ascii="Avenir Next LT Pro" w:hAnsi="Avenir Next LT Pro"/>
          <w:b/>
          <w:color w:val="1C4076"/>
          <w:sz w:val="28"/>
        </w:rPr>
        <w:t>Diversity in management</w:t>
      </w:r>
    </w:p>
    <w:p>
      <w:pPr>
        <w:spacing w:after="200"/>
        <w:jc w:val="both"/>
      </w:pPr>
      <w:r>
        <w:rPr>
          <w:rFonts w:ascii="Avenir Next LT Pro" w:hAnsi="Avenir Next LT Pro"/>
          <w:b w:val="0"/>
          <w:color w:val="1C4076"/>
          <w:sz w:val="22"/>
        </w:rPr>
        <w:t>BioMar strives to obtain a high degree of diversity at the company's management levels, ensuring multiple perspectives in decision making. Broad representation of educational and business backgrounds, culture, age, and gender as well as both national and international experience at the management levels is a company priority.</w:t>
      </w:r>
    </w:p>
    <w:p>
      <w:pPr>
        <w:spacing w:after="200"/>
        <w:jc w:val="both"/>
      </w:pPr>
      <w:r>
        <w:rPr>
          <w:rFonts w:ascii="Avenir Next LT Pro" w:hAnsi="Avenir Next LT Pro"/>
          <w:b w:val="0"/>
          <w:color w:val="1C4076"/>
          <w:sz w:val="22"/>
        </w:rPr>
        <w:t>To support equal access to management roles, the company works to remove barriers that may limit diversity. This applies to day-to-day work and to every stage of selection and promotion. Unless there is a legitimate reason, we do not tailor job descriptions, job advertisements, applicant screening, or interviews to a specific gender, culture, age, or similar characteristic.</w:t>
      </w:r>
    </w:p>
    <w:p>
      <w:pPr>
        <w:spacing w:after="200"/>
        <w:jc w:val="both"/>
      </w:pPr>
      <w:r>
        <w:rPr>
          <w:rFonts w:ascii="Avenir Next LT Pro" w:hAnsi="Avenir Next LT Pro"/>
          <w:b w:val="0"/>
          <w:color w:val="1C4076"/>
          <w:sz w:val="22"/>
        </w:rPr>
        <w:t>When underrepresentation at management level is identified, compared to the general company population or the society composition, focus is directed towards getting the right representation of the underrepresented talent into management positions by taking dedicated initiatives and actions to support diversity (see below for further on initiatives relating to gender diversity).</w:t>
      </w:r>
    </w:p>
    <w:p>
      <w:pPr>
        <w:keepNext/>
        <w:spacing w:before="260" w:after="160"/>
      </w:pPr>
      <w:r>
        <w:rPr>
          <w:rFonts w:ascii="Avenir Next LT Pro" w:hAnsi="Avenir Next LT Pro"/>
          <w:b/>
          <w:color w:val="1C4076"/>
          <w:sz w:val="28"/>
        </w:rPr>
        <w:t>Gender diversity in management</w:t>
      </w:r>
    </w:p>
    <w:p>
      <w:pPr>
        <w:spacing w:after="200"/>
        <w:jc w:val="both"/>
      </w:pPr>
      <w:r>
        <w:rPr>
          <w:rFonts w:ascii="Avenir Next LT Pro" w:hAnsi="Avenir Next LT Pro"/>
          <w:b w:val="0"/>
          <w:color w:val="1C4076"/>
          <w:sz w:val="22"/>
        </w:rPr>
        <w:t>BioMar is subject to the Danish Gender Balance Act (the “Act”), which prescribes that BioMar shall have a target of equal gender representation (as defined in the Act) on the Board of Directors, both with respect to members elected by the general meeting and employee representatives, assessed separately for each group.</w:t>
      </w:r>
    </w:p>
    <w:p>
      <w:pPr>
        <w:spacing w:after="200"/>
        <w:jc w:val="both"/>
      </w:pPr>
      <w:r>
        <w:rPr>
          <w:rFonts w:ascii="Avenir Next LT Pro" w:hAnsi="Avenir Next LT Pro"/>
          <w:b w:val="0"/>
          <w:color w:val="1C4076"/>
          <w:sz w:val="22"/>
        </w:rPr>
        <w:t>The Board of Directors aims to achieve equal gender representation on the Board of Directors in accordance with the Act at the same time balancing the professional competences required.</w:t>
      </w:r>
    </w:p>
    <w:p>
      <w:pPr>
        <w:spacing w:after="200"/>
        <w:jc w:val="both"/>
      </w:pPr>
      <w:r>
        <w:rPr>
          <w:rFonts w:ascii="Avenir Next LT Pro" w:hAnsi="Avenir Next LT Pro"/>
          <w:b w:val="0"/>
          <w:color w:val="1C4076"/>
          <w:sz w:val="22"/>
        </w:rPr>
        <w:t>Where required under the Act, the nomination and selection of candidates for the board of directors shall be carried out on the basis of: (i) clearly defined, neutral and objective selection criteria, (ii) a comparative assessment of candidates’ qualifications, and (iii) where applicable, the statutory preference for candidates of the underrepresented gender where candidates are equally qualified, unless objectively justified otherwise in accordance with applicable legislation. Applicable disclosure and reporting requirements relating to gender representation and selection processes shall also be complied with.</w:t>
      </w:r>
    </w:p>
    <w:p>
      <w:pPr>
        <w:spacing w:after="200"/>
        <w:jc w:val="both"/>
      </w:pPr>
      <w:r>
        <w:rPr>
          <w:rFonts w:ascii="Avenir Next LT Pro" w:hAnsi="Avenir Next LT Pro"/>
          <w:b w:val="0"/>
          <w:color w:val="1C4076"/>
          <w:sz w:val="22"/>
        </w:rPr>
        <w:t>In respect of the company’s other management levels, as defined under applicable legislation, BioMar continuously assesses gender representation. Where equal gender representation has not been achieved, BioMar will, in accordance with the Act: (i) establish measurable targets for the underrepresented gender, and (ii) implement initiatives aimed at increasing representation of the underrepresented gender. Such initiatives may include:</w:t>
      </w:r>
    </w:p>
    <w:p>
      <w:pPr>
        <w:spacing w:after="200"/>
        <w:jc w:val="both"/>
      </w:pPr>
      <w:r>
        <w:rPr>
          <w:rFonts w:ascii="Avenir Next LT Pro" w:hAnsi="Avenir Next LT Pro"/>
          <w:b w:val="0"/>
          <w:color w:val="1C4076"/>
          <w:sz w:val="22"/>
        </w:rPr>
        <w:t>striving to ensure representation of both genders among the final candidates when recruiting for management positions</w:t>
      </w:r>
    </w:p>
    <w:p>
      <w:pPr>
        <w:spacing w:after="200"/>
        <w:jc w:val="both"/>
      </w:pPr>
      <w:r>
        <w:rPr>
          <w:rFonts w:ascii="Avenir Next LT Pro" w:hAnsi="Avenir Next LT Pro"/>
          <w:b w:val="0"/>
          <w:color w:val="1C4076"/>
          <w:sz w:val="22"/>
        </w:rPr>
        <w:t>building and monitoring a leadership talent pipeline, where increased diversity at entry management levels supports future diversity in senior management</w:t>
      </w:r>
    </w:p>
    <w:p>
      <w:pPr>
        <w:keepNext/>
        <w:spacing w:before="260" w:after="160"/>
      </w:pPr>
      <w:r>
        <w:rPr>
          <w:rFonts w:ascii="Avenir Next LT Pro" w:hAnsi="Avenir Next LT Pro"/>
          <w:b/>
          <w:color w:val="1C4076"/>
          <w:sz w:val="28"/>
        </w:rPr>
        <w:t>ensuring that employees experience equal opportunities in respect of career advancement, regardless of gender</w:t>
      </w:r>
    </w:p>
    <w:p>
      <w:pPr>
        <w:spacing w:after="200"/>
        <w:jc w:val="both"/>
      </w:pPr>
      <w:r>
        <w:rPr>
          <w:rFonts w:ascii="Avenir Next LT Pro" w:hAnsi="Avenir Next LT Pro"/>
          <w:b w:val="0"/>
          <w:color w:val="1C4076"/>
          <w:sz w:val="22"/>
        </w:rPr>
        <w:t>promoting remuneration practices that are gender neutral and support the principle of equal pay for equal work or work of equal value</w:t>
      </w:r>
    </w:p>
    <w:p>
      <w:pPr>
        <w:spacing w:after="200"/>
        <w:jc w:val="both"/>
      </w:pPr>
      <w:r>
        <w:rPr>
          <w:rFonts w:ascii="Avenir Next LT Pro" w:hAnsi="Avenir Next LT Pro"/>
          <w:b w:val="0"/>
          <w:color w:val="1C4076"/>
          <w:sz w:val="22"/>
        </w:rPr>
        <w:t>BioMar monitors and reports on gender representation, targets, initiatives and progress in accordance with applicable requirements.</w:t>
      </w:r>
    </w:p>
    <w:p>
      <w:pPr>
        <w:spacing w:after="200"/>
        <w:jc w:val="both"/>
      </w:pPr>
      <w:r>
        <w:rPr>
          <w:rFonts w:ascii="Avenir Next LT Pro" w:hAnsi="Avenir Next LT Pro"/>
          <w:b/>
          <w:color w:val="1C4076"/>
          <w:sz w:val="22"/>
        </w:rPr>
        <w:t>Governance, review and related policies</w:t>
      </w:r>
    </w:p>
    <w:p>
      <w:pPr>
        <w:spacing w:after="200"/>
        <w:jc w:val="both"/>
      </w:pPr>
      <w:r>
        <w:rPr>
          <w:rFonts w:ascii="Avenir Next LT Pro" w:hAnsi="Avenir Next LT Pro"/>
          <w:b w:val="0"/>
          <w:color w:val="1C4076"/>
          <w:sz w:val="22"/>
        </w:rPr>
        <w:t>This policy is approved by the Board of Directors. It is reviewed regularly to reflect changes in laws, best practices, stakeholder expectations and learnings from case handling.</w:t>
      </w:r>
    </w:p>
    <w:p>
      <w:pPr>
        <w:spacing w:after="200"/>
        <w:jc w:val="both"/>
      </w:pPr>
      <w:r>
        <w:rPr>
          <w:rFonts w:ascii="Avenir Next LT Pro" w:hAnsi="Avenir Next LT Pro"/>
          <w:b w:val="0"/>
          <w:color w:val="1C4076"/>
          <w:sz w:val="22"/>
        </w:rPr>
        <w:t>The following policies support the implementation of the BioMar Diversity Policy:</w:t>
      </w:r>
    </w:p>
    <w:p>
      <w:pPr>
        <w:spacing w:after="200"/>
        <w:jc w:val="both"/>
      </w:pPr>
      <w:r>
        <w:rPr>
          <w:rFonts w:ascii="Avenir Next LT Pro" w:hAnsi="Avenir Next LT Pro"/>
          <w:b w:val="0"/>
          <w:color w:val="1C4076"/>
          <w:sz w:val="22"/>
        </w:rPr>
        <w:t>• Code of Conduct.</w:t>
      </w:r>
    </w:p>
    <w:p>
      <w:pPr>
        <w:spacing w:after="200"/>
        <w:jc w:val="both"/>
      </w:pPr>
      <w:r>
        <w:rPr>
          <w:rFonts w:ascii="Avenir Next LT Pro" w:hAnsi="Avenir Next LT Pro"/>
          <w:b w:val="0"/>
          <w:color w:val="1C4076"/>
          <w:sz w:val="22"/>
        </w:rPr>
        <w:t>• Human Rights Policy.</w:t>
      </w:r>
    </w:p>
    <w:p>
      <w:pPr>
        <w:spacing w:after="200"/>
        <w:jc w:val="both"/>
      </w:pPr>
      <w:r>
        <w:rPr>
          <w:rFonts w:ascii="Avenir Next LT Pro" w:hAnsi="Avenir Next LT Pro"/>
          <w:b w:val="0"/>
          <w:color w:val="1C4076"/>
          <w:sz w:val="22"/>
        </w:rPr>
        <w:t>• Responsible Sourcing Policy.</w:t>
      </w:r>
    </w:p>
    <w:p>
      <w:pPr>
        <w:spacing w:after="200"/>
        <w:jc w:val="both"/>
      </w:pPr>
      <w:r>
        <w:rPr>
          <w:rFonts w:ascii="Avenir Next LT Pro" w:hAnsi="Avenir Next LT Pro"/>
          <w:b w:val="0"/>
          <w:color w:val="1C4076"/>
          <w:sz w:val="22"/>
        </w:rPr>
        <w:t>• Supplier Code of Conduct.</w:t>
      </w:r>
    </w:p>
    <w:p>
      <w:pPr>
        <w:spacing w:after="200"/>
        <w:jc w:val="both"/>
      </w:pPr>
      <w:r>
        <w:rPr>
          <w:rFonts w:ascii="Avenir Next LT Pro" w:hAnsi="Avenir Next LT Pro"/>
          <w:b w:val="0"/>
          <w:color w:val="1C4076"/>
          <w:sz w:val="22"/>
        </w:rPr>
        <w:t>• Responsible Employment Policy.</w:t>
      </w:r>
    </w:p>
    <w:p>
      <w:pPr>
        <w:spacing w:after="200"/>
        <w:jc w:val="both"/>
      </w:pPr>
      <w:r>
        <w:rPr>
          <w:rFonts w:ascii="Avenir Next LT Pro" w:hAnsi="Avenir Next LT Pro"/>
          <w:b w:val="0"/>
          <w:color w:val="1C4076"/>
          <w:sz w:val="22"/>
        </w:rPr>
        <w:t>• Compensation Policy.</w:t>
      </w:r>
    </w:p>
    <w:p>
      <w:pPr>
        <w:spacing w:after="200"/>
        <w:jc w:val="both"/>
      </w:pPr>
      <w:r>
        <w:rPr>
          <w:rFonts w:ascii="Avenir Next LT Pro" w:hAnsi="Avenir Next LT Pro"/>
          <w:b w:val="0"/>
          <w:color w:val="1C4076"/>
          <w:sz w:val="22"/>
        </w:rPr>
        <w:t>• Other relevant compliance policies and procedures applicable from time to time.</w:t>
      </w:r>
    </w:p>
    <w:sectPr w:rsidR="00FC693F" w:rsidRPr="0006063C" w:rsidSect="00034616">
      <w:headerReference w:type="default" r:id="rId10"/>
      <w:footerReference w:type="default" r:id="rId11"/>
      <w:pgSz w:w="11906" w:h="16838"/>
      <w:pgMar w:top="2920" w:right="850" w:bottom="1134" w:left="850" w:header="680" w:footer="4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6" w:color="C3E4EF"/>
      </w:pBdr>
    </w:pPr>
    <w:r>
      <w:rPr>
        <w:rFonts w:ascii="Avenir Next LT Pro" w:hAnsi="Avenir Next LT Pro"/>
        <w:b w:val="0"/>
        <w:color w:val="1C4076"/>
        <w:sz w:val="16"/>
      </w:rPr>
      <w:t>BioMar Group A/S · Kalkværksvej 16, 15. · 8000 Aarhus C · Denmark · Tel +45 86 20 49 70 · www.biomar.com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venir Next LT Pro" w:hAnsi="Avenir Next LT Pro"/>
        <w:b w:val="0"/>
        <w:color w:val="1C4076"/>
        <w:sz w:val="16"/>
      </w:rPr>
      <w:t>BioMar Group</w:t>
    </w:r>
    <w:r>
      <w:br/>
    </w:r>
    <w:r>
      <w:rPr>
        <w:rFonts w:ascii="Avenir Next LT Pro" w:hAnsi="Avenir Next LT Pro"/>
        <w:b w:val="0"/>
        <w:color w:val="1C4076"/>
        <w:sz w:val="16"/>
      </w:rPr>
      <w:t>Diversity Policy</w:t>
    </w:r>
    <w:r>
      <w:drawing>
        <wp:anchor xmlns:a="http://schemas.openxmlformats.org/drawingml/2006/main" xmlns:pic="http://schemas.openxmlformats.org/drawingml/2006/picture" behindDoc="0" distT="0" distB="0" distL="0" distR="0" simplePos="0" locked="0" layoutInCell="1" allowOverlap="1" relativeHeight="2">
          <wp:simplePos x="0" y="0"/>
          <wp:positionH relativeFrom="page">
            <wp:posOffset>5621985</wp:posOffset>
          </wp:positionH>
          <wp:positionV relativeFrom="page">
            <wp:posOffset>212090</wp:posOffset>
          </wp:positionV>
          <wp:extent cx="1727200" cy="1654810"/>
          <wp:wrapNone/>
          <wp:docPr id="201" name="BioMar logo"/>
          <a:graphic>
            <a:graphicData uri="http://schemas.openxmlformats.org/drawingml/2006/picture">
              <pic:pic>
                <pic:nvPicPr>
                  <pic:cNvPr id="0" name="logo.png"/>
                  <pic:cNvPicPr/>
                </pic:nvPicPr>
                <pic:blipFill>
                  <a:blip r:embed="rId1"/>
                  <a:stretch>
                    <a:fillRect/>
                  </a:stretch>
                </pic:blipFill>
                <pic:spPr>
                  <a:xfrm>
                    <a:off x="0" y="0"/>
                    <a:ext cx="1727200" cy="165481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LT Pro" w:hAnsi="Avenir Next LT Pro"/>
      <w:color w:val="1C407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