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r7z8jy9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color w:val="1C4076"/>
          <w:sz w:val="28"/>
        </w:rPr>
        <w:t>Objectives</w:t>
      </w:r>
    </w:p>
    <w:p>
      <w:pPr>
        <w:spacing w:after="200"/>
        <w:jc w:val="both"/>
      </w:pPr>
      <w:r>
        <w:rPr>
          <w:rFonts w:ascii="Avenir Next LT Pro" w:hAnsi="Avenir Next LT Pro"/>
          <w:b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color w:val="1C4076"/>
          <w:sz w:val="28"/>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3.1 Fixed fee</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val="0"/>
          <w:color w:val="1C4076"/>
          <w:sz w:val="22"/>
        </w:rPr>
        <w:t>3.2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val="0"/>
          <w:color w:val="1C4076"/>
          <w:sz w:val="22"/>
        </w:rPr>
        <w:t>3.3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color w:val="1C4076"/>
          <w:sz w:val="22"/>
        </w:rPr>
        <w:t>3.4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color w:val="1C4076"/>
          <w:sz w:val="22"/>
        </w:rPr>
        <w:t>3.5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color w:val="1C4076"/>
          <w:sz w:val="28"/>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w:t>
      </w:r>
      <w:r>
        <w:rPr>
          <w:rFonts w:ascii="Avenir Next LT Pro" w:hAnsi="Avenir Next LT Pro"/>
          <w:b/>
          <w:color w:val="1C4076"/>
          <w:sz w:val="22"/>
        </w:rPr>
        <w:t>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w:t>
      </w:r>
      <w:r>
        <w:rPr>
          <w:rFonts w:ascii="Avenir Next LT Pro" w:hAnsi="Avenir Next LT Pro"/>
          <w:b/>
          <w:color w:val="1C4076"/>
          <w:sz w:val="22"/>
        </w:rPr>
        <w:t>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color w:val="1C4076"/>
          <w:sz w:val="22"/>
        </w:rPr>
        <w:t>4.3.7 Extraordinary incentives</w:t>
      </w:r>
    </w:p>
    <w:p>
      <w:pPr>
        <w:spacing w:after="200"/>
        <w:jc w:val="both"/>
      </w:pPr>
      <w:r>
        <w:rPr>
          <w:rFonts w:ascii="Avenir Next LT Pro" w:hAnsi="Avenir Next LT Pro"/>
          <w:b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color w:val="1C4076"/>
          <w:sz w:val="22"/>
        </w:rPr>
        <w:t>4.3.8 Clawback</w:t>
      </w:r>
    </w:p>
    <w:p>
      <w:pPr>
        <w:spacing w:after="200"/>
        <w:jc w:val="both"/>
      </w:pPr>
      <w:r>
        <w:rPr>
          <w:rFonts w:ascii="Avenir Next LT Pro" w:hAnsi="Avenir Next LT Pro"/>
          <w:b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color w:val="1C4076"/>
          <w:sz w:val="28"/>
        </w:rPr>
        <w:t>Service agreements</w:t>
      </w:r>
    </w:p>
    <w:p>
      <w:pPr>
        <w:spacing w:after="200"/>
        <w:jc w:val="both"/>
      </w:pPr>
      <w:r>
        <w:rPr>
          <w:rFonts w:ascii="Avenir Next LT Pro" w:hAnsi="Avenir Next LT Pro"/>
          <w:b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color w:val="1C4076"/>
          <w:sz w:val="28"/>
        </w:rPr>
        <w:t>D&amp;O insurance and indemnification</w:t>
      </w:r>
    </w:p>
    <w:p>
      <w:pPr>
        <w:spacing w:after="200"/>
        <w:jc w:val="both"/>
      </w:pPr>
      <w:r>
        <w:rPr>
          <w:rFonts w:ascii="Avenir Next LT Pro" w:hAnsi="Avenir Next LT Pro"/>
          <w:b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color w:val="1C4076"/>
          <w:sz w:val="28"/>
        </w:rPr>
        <w:t>Deviations</w:t>
      </w:r>
    </w:p>
    <w:p>
      <w:pPr>
        <w:spacing w:after="200"/>
        <w:jc w:val="both"/>
      </w:pPr>
      <w:r>
        <w:rPr>
          <w:rFonts w:ascii="Avenir Next LT Pro" w:hAnsi="Avenir Next LT Pro"/>
          <w:b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color w:val="1C4076"/>
          <w:sz w:val="28"/>
        </w:rPr>
        <w:t>Remuneration to the Company’s other employees</w:t>
      </w:r>
    </w:p>
    <w:p>
      <w:pPr>
        <w:spacing w:after="200"/>
        <w:jc w:val="both"/>
      </w:pPr>
      <w:r>
        <w:rPr>
          <w:rFonts w:ascii="Avenir Next LT Pro" w:hAnsi="Avenir Next LT Pro"/>
          <w:b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color w:val="1C4076"/>
          <w:sz w:val="28"/>
        </w:rPr>
        <w:t>Approval process and conflicts of interest</w:t>
      </w:r>
    </w:p>
    <w:p>
      <w:pPr>
        <w:spacing w:after="200"/>
        <w:jc w:val="both"/>
      </w:pPr>
      <w:r>
        <w:rPr>
          <w:rFonts w:ascii="Avenir Next LT Pro" w:hAnsi="Avenir Next LT Pro"/>
          <w:b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color w:val="1C4076"/>
          <w:sz w:val="28"/>
        </w:rPr>
        <w:t>Remuneration report</w:t>
      </w:r>
    </w:p>
    <w:p>
      <w:pPr>
        <w:spacing w:after="200"/>
        <w:jc w:val="both"/>
      </w:pPr>
      <w:r>
        <w:rPr>
          <w:rFonts w:ascii="Avenir Next LT Pro" w:hAnsi="Avenir Next LT Pro"/>
          <w:b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color w:val="1C4076"/>
          <w:sz w:val="28"/>
        </w:rPr>
        <w:t>Adoption and publication</w:t>
      </w:r>
    </w:p>
    <w:p>
      <w:pPr>
        <w:spacing w:after="200"/>
        <w:jc w:val="both"/>
      </w:pPr>
      <w:r>
        <w:rPr>
          <w:rFonts w:ascii="Avenir Next LT Pro" w:hAnsi="Avenir Next LT Pro"/>
          <w:b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