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7ovt7zxh.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i w:val="0"/>
          <w:color w:val="1C4076"/>
          <w:sz w:val="28"/>
        </w:rPr>
        <w:t>1 Introduction</w:t>
      </w:r>
    </w:p>
    <w:p>
      <w:pPr>
        <w:spacing w:after="200"/>
        <w:jc w:val="both"/>
      </w:pPr>
      <w:r>
        <w:rPr>
          <w:rFonts w:ascii="Avenir Next LT Pro" w:hAnsi="Avenir Next LT Pro"/>
          <w:b w:val="0"/>
          <w:i w:val="0"/>
          <w:color w:val="1C4076"/>
          <w:sz w:val="22"/>
        </w:rPr>
        <w:t>BioMar Group A/S, CVR no. 38 57 06 17 (hereinafter the “Company” and together with its subsidiaries, the “Group”), is a limited liability company established under the laws of Denmark, with its Shares admitted to trading and official listing on Nasdaq Copenhagen A/S (“Nasdaq Copenhagen”).</w:t>
      </w:r>
    </w:p>
    <w:p>
      <w:pPr>
        <w:spacing w:after="200"/>
        <w:jc w:val="both"/>
      </w:pPr>
      <w:r>
        <w:rPr>
          <w:rFonts w:ascii="Avenir Next LT Pro" w:hAnsi="Avenir Next LT Pro"/>
          <w:b w:val="0"/>
          <w:i w:val="0"/>
          <w:color w:val="1C4076"/>
          <w:sz w:val="22"/>
        </w:rPr>
        <w:t>These Internal Rules have been prepared to ensure the Company’s compliance with certain requirements under Regulation (EU) No. 596/2014 on market abuse (the “Market Abuse Regulation”) and delegated and implementing acts issued pursuant hereto as well as certain requirements under the Danish Capital Markets Act (the “Capital Markets Act”) and related executive orders, the Danish Companies Act (the “Danish Companies Act”) and Nasdaq’s Nordic Main Market Rulebook for Issuers of Shares (the “Rules for Issuers”).</w:t>
      </w:r>
    </w:p>
    <w:p>
      <w:pPr>
        <w:spacing w:after="200"/>
        <w:jc w:val="both"/>
      </w:pPr>
      <w:r>
        <w:rPr>
          <w:rFonts w:ascii="Avenir Next LT Pro" w:hAnsi="Avenir Next LT Pro"/>
          <w:b w:val="0"/>
          <w:i w:val="0"/>
          <w:color w:val="1C4076"/>
          <w:sz w:val="22"/>
        </w:rPr>
        <w:t>Defined terms used in these Internal Rules are set out in Appendix A – Definitions.</w:t>
      </w:r>
    </w:p>
    <w:p>
      <w:pPr>
        <w:spacing w:after="200"/>
        <w:jc w:val="both"/>
      </w:pPr>
      <w:r>
        <w:rPr>
          <w:rFonts w:ascii="Avenir Next LT Pro" w:hAnsi="Avenir Next LT Pro"/>
          <w:b w:val="0"/>
          <w:i w:val="0"/>
          <w:color w:val="1C4076"/>
          <w:sz w:val="22"/>
        </w:rPr>
        <w:t>It is emphasised that a violation of the obligations and restrictions set out in the Internal Rules may be a criminal offence and may significantly harm the Company and its reputation. The Company may in case of violation of these Internal Rules disclose information to the police and the Danish Financial Supervisory Authority, just as dismissal without notice may take place.</w:t>
      </w:r>
    </w:p>
    <w:p>
      <w:pPr>
        <w:spacing w:after="200"/>
        <w:jc w:val="both"/>
      </w:pPr>
      <w:r>
        <w:rPr>
          <w:rFonts w:ascii="Avenir Next LT Pro" w:hAnsi="Avenir Next LT Pro"/>
          <w:b w:val="0"/>
          <w:i w:val="0"/>
          <w:color w:val="1C4076"/>
          <w:sz w:val="22"/>
        </w:rPr>
        <w:t>These rules are regularly and at least once a year reviewed by the Company’s Board of Directors and Executive Management.</w:t>
      </w:r>
    </w:p>
    <w:p>
      <w:pPr>
        <w:spacing w:after="200"/>
        <w:jc w:val="both"/>
      </w:pPr>
      <w:r>
        <w:rPr>
          <w:rFonts w:ascii="Avenir Next LT Pro" w:hAnsi="Avenir Next LT Pro"/>
          <w:b w:val="0"/>
          <w:i w:val="0"/>
          <w:color w:val="1C4076"/>
          <w:sz w:val="22"/>
        </w:rPr>
        <w:t>All questions in respect of the interpretation of these rules, including applicable restrictions in the possibility to purchase, sell or conduct other transactions in respect of the Shares, shall be directed to the Company’s Chief Legal Officer.</w:t>
      </w:r>
    </w:p>
    <w:p>
      <w:pPr>
        <w:keepNext/>
        <w:spacing w:before="260" w:after="160"/>
      </w:pPr>
      <w:r>
        <w:rPr>
          <w:rFonts w:ascii="Avenir Next LT Pro" w:hAnsi="Avenir Next LT Pro"/>
          <w:b/>
          <w:i w:val="0"/>
          <w:color w:val="1C4076"/>
          <w:sz w:val="28"/>
        </w:rPr>
        <w:t>2 Persons covered by the Internal Rules</w:t>
      </w:r>
    </w:p>
    <w:p>
      <w:pPr>
        <w:spacing w:after="200"/>
        <w:jc w:val="both"/>
      </w:pPr>
      <w:r>
        <w:rPr>
          <w:rFonts w:ascii="Avenir Next LT Pro" w:hAnsi="Avenir Next LT Pro"/>
          <w:b w:val="0"/>
          <w:i w:val="0"/>
          <w:color w:val="1C4076"/>
          <w:sz w:val="22"/>
        </w:rPr>
        <w:t>These Internal Rules are divided into three parts, which are addressed to different groups of people.</w:t>
      </w:r>
    </w:p>
    <w:p>
      <w:pPr>
        <w:spacing w:after="200"/>
        <w:jc w:val="both"/>
      </w:pPr>
      <w:r>
        <w:rPr>
          <w:rFonts w:ascii="Avenir Next LT Pro" w:hAnsi="Avenir Next LT Pro"/>
          <w:b w:val="0"/>
          <w:i w:val="0"/>
          <w:color w:val="1C4076"/>
          <w:sz w:val="22"/>
        </w:rPr>
        <w:t>The internal rules for Insiders (</w:t>
      </w:r>
      <w:r>
        <w:rPr>
          <w:rFonts w:ascii="Avenir Next LT Pro" w:hAnsi="Avenir Next LT Pro"/>
          <w:b/>
          <w:i w:val="0"/>
          <w:color w:val="1C4076"/>
          <w:sz w:val="22"/>
        </w:rPr>
        <w:t>Part 1</w:t>
      </w:r>
      <w:r>
        <w:rPr>
          <w:rFonts w:ascii="Avenir Next LT Pro" w:hAnsi="Avenir Next LT Pro"/>
          <w:b w:val="0"/>
          <w:i w:val="0"/>
          <w:color w:val="1C4076"/>
          <w:sz w:val="22"/>
        </w:rPr>
        <w:t>) are addressed to the Company</w:t>
      </w:r>
      <w:r>
        <w:rPr>
          <w:rFonts w:ascii="Avenir Next LT Pro" w:hAnsi="Avenir Next LT Pro"/>
          <w:b w:val="0"/>
          <w:i w:val="0"/>
          <w:color w:val="1C4076"/>
          <w:sz w:val="22"/>
        </w:rPr>
        <w:t>’</w:t>
      </w:r>
      <w:r>
        <w:rPr>
          <w:rFonts w:ascii="Avenir Next LT Pro" w:hAnsi="Avenir Next LT Pro"/>
          <w:b w:val="0"/>
          <w:i w:val="0"/>
          <w:color w:val="1C4076"/>
          <w:sz w:val="22"/>
        </w:rPr>
        <w:t>s Board of Directors, Executive Management and other employees of the Company and the Group, who have access to Inside Information, meaning non-public information of a precise nature relating to the Group which</w:t>
      </w:r>
      <w:r>
        <w:rPr>
          <w:rFonts w:ascii="Avenir Next LT Pro" w:hAnsi="Avenir Next LT Pro"/>
          <w:b w:val="0"/>
          <w:i w:val="0"/>
          <w:color w:val="1C4076"/>
          <w:sz w:val="22"/>
        </w:rPr>
        <w:t>,</w:t>
      </w:r>
      <w:r>
        <w:rPr>
          <w:rFonts w:ascii="Avenir Next LT Pro" w:hAnsi="Avenir Next LT Pro"/>
          <w:b w:val="0"/>
          <w:i w:val="0"/>
          <w:color w:val="1C4076"/>
          <w:sz w:val="22"/>
        </w:rPr>
        <w:t xml:space="preserve"> if made public</w:t>
      </w:r>
      <w:r>
        <w:rPr>
          <w:rFonts w:ascii="Avenir Next LT Pro" w:hAnsi="Avenir Next LT Pro"/>
          <w:b w:val="0"/>
          <w:i w:val="0"/>
          <w:color w:val="1C4076"/>
          <w:sz w:val="22"/>
        </w:rPr>
        <w:t>,</w:t>
      </w:r>
      <w:r>
        <w:rPr>
          <w:rFonts w:ascii="Avenir Next LT Pro" w:hAnsi="Avenir Next LT Pro"/>
          <w:b w:val="0"/>
          <w:i w:val="0"/>
          <w:color w:val="1C4076"/>
          <w:sz w:val="22"/>
        </w:rPr>
        <w:t xml:space="preserve"> would be likely to have a significant effect on any securities issued by the Company and thus be of importance to a reasonable investor when making a decision whether to invest in securities issued by the Company. For a more detailed definition of Inside Information please refer to </w:t>
      </w:r>
      <w:r>
        <w:rPr>
          <w:rFonts w:ascii="Avenir Next LT Pro" w:hAnsi="Avenir Next LT Pro"/>
          <w:b w:val="0"/>
          <w:i w:val="0"/>
          <w:color w:val="1C4076"/>
          <w:sz w:val="22"/>
        </w:rPr>
        <w:t>Appendix B – Definition of Inside Information</w:t>
      </w:r>
      <w:r>
        <w:rPr>
          <w:rFonts w:ascii="Avenir Next LT Pro" w:hAnsi="Avenir Next LT Pro"/>
          <w:b w:val="0"/>
          <w:i w:val="0"/>
          <w:color w:val="1C4076"/>
          <w:sz w:val="22"/>
        </w:rPr>
        <w:t>.</w:t>
      </w:r>
    </w:p>
    <w:p>
      <w:pPr>
        <w:spacing w:after="200"/>
        <w:jc w:val="both"/>
      </w:pPr>
      <w:r>
        <w:rPr>
          <w:rFonts w:ascii="Avenir Next LT Pro" w:hAnsi="Avenir Next LT Pro"/>
          <w:b w:val="0"/>
          <w:i w:val="0"/>
          <w:color w:val="1C4076"/>
          <w:sz w:val="22"/>
        </w:rPr>
        <w:t>The internal rules governing the Company</w:t>
      </w:r>
      <w:r>
        <w:rPr>
          <w:rFonts w:ascii="Avenir Next LT Pro" w:hAnsi="Avenir Next LT Pro"/>
          <w:b w:val="0"/>
          <w:i w:val="0"/>
          <w:color w:val="1C4076"/>
          <w:sz w:val="22"/>
        </w:rPr>
        <w:t>’</w:t>
      </w:r>
      <w:r>
        <w:rPr>
          <w:rFonts w:ascii="Avenir Next LT Pro" w:hAnsi="Avenir Next LT Pro"/>
          <w:b w:val="0"/>
          <w:i w:val="0"/>
          <w:color w:val="1C4076"/>
          <w:sz w:val="22"/>
        </w:rPr>
        <w:t>s trading in treasury Shares (</w:t>
      </w:r>
      <w:r>
        <w:rPr>
          <w:rFonts w:ascii="Avenir Next LT Pro" w:hAnsi="Avenir Next LT Pro"/>
          <w:b/>
          <w:i w:val="0"/>
          <w:color w:val="1C4076"/>
          <w:sz w:val="22"/>
        </w:rPr>
        <w:t>Part 2</w:t>
      </w:r>
      <w:r>
        <w:rPr>
          <w:rFonts w:ascii="Avenir Next LT Pro" w:hAnsi="Avenir Next LT Pro"/>
          <w:b w:val="0"/>
          <w:i w:val="0"/>
          <w:color w:val="1C4076"/>
          <w:sz w:val="22"/>
        </w:rPr>
        <w:t>)</w:t>
      </w:r>
      <w:r>
        <w:rPr>
          <w:rFonts w:ascii="Avenir Next LT Pro" w:hAnsi="Avenir Next LT Pro"/>
          <w:b/>
          <w:i w:val="0"/>
          <w:color w:val="1C4076"/>
          <w:sz w:val="22"/>
        </w:rPr>
        <w:t xml:space="preserve"> </w:t>
      </w:r>
      <w:r>
        <w:rPr>
          <w:rFonts w:ascii="Avenir Next LT Pro" w:hAnsi="Avenir Next LT Pro"/>
          <w:b w:val="0"/>
          <w:i w:val="0"/>
          <w:color w:val="1C4076"/>
          <w:sz w:val="22"/>
        </w:rPr>
        <w:t>are primarily addressed to the Company</w:t>
      </w:r>
      <w:r>
        <w:rPr>
          <w:rFonts w:ascii="Avenir Next LT Pro" w:hAnsi="Avenir Next LT Pro"/>
          <w:b w:val="0"/>
          <w:i w:val="0"/>
          <w:color w:val="1C4076"/>
          <w:sz w:val="22"/>
        </w:rPr>
        <w:t>’</w:t>
      </w:r>
      <w:r>
        <w:rPr>
          <w:rFonts w:ascii="Avenir Next LT Pro" w:hAnsi="Avenir Next LT Pro"/>
          <w:b w:val="0"/>
          <w:i w:val="0"/>
          <w:color w:val="1C4076"/>
          <w:sz w:val="22"/>
        </w:rPr>
        <w:t>s Board of Directors and Executive Management.</w:t>
      </w:r>
    </w:p>
    <w:p>
      <w:pPr>
        <w:spacing w:after="200"/>
        <w:jc w:val="both"/>
      </w:pPr>
      <w:r>
        <w:rPr>
          <w:rFonts w:ascii="Avenir Next LT Pro" w:hAnsi="Avenir Next LT Pro"/>
          <w:b w:val="0"/>
          <w:i w:val="0"/>
          <w:color w:val="1C4076"/>
          <w:sz w:val="22"/>
        </w:rPr>
        <w:t>Members of the Company</w:t>
      </w:r>
      <w:r>
        <w:rPr>
          <w:rFonts w:ascii="Avenir Next LT Pro" w:hAnsi="Avenir Next LT Pro"/>
          <w:b w:val="0"/>
          <w:i w:val="0"/>
          <w:color w:val="1C4076"/>
          <w:sz w:val="22"/>
        </w:rPr>
        <w:t>’</w:t>
      </w:r>
      <w:r>
        <w:rPr>
          <w:rFonts w:ascii="Avenir Next LT Pro" w:hAnsi="Avenir Next LT Pro"/>
          <w:b w:val="0"/>
          <w:i w:val="0"/>
          <w:color w:val="1C4076"/>
          <w:sz w:val="22"/>
        </w:rPr>
        <w:t xml:space="preserve">s Board of Directors and members of the Executive Management (together </w:t>
      </w:r>
      <w:r>
        <w:rPr>
          <w:rFonts w:ascii="Avenir Next LT Pro" w:hAnsi="Avenir Next LT Pro"/>
          <w:b w:val="0"/>
          <w:i w:val="0"/>
          <w:color w:val="1C4076"/>
          <w:sz w:val="22"/>
        </w:rPr>
        <w:t>“</w:t>
      </w:r>
      <w:r>
        <w:rPr>
          <w:rFonts w:ascii="Avenir Next LT Pro" w:hAnsi="Avenir Next LT Pro"/>
          <w:b w:val="0"/>
          <w:i w:val="0"/>
          <w:color w:val="1C4076"/>
          <w:sz w:val="22"/>
        </w:rPr>
        <w:t>Reporting Persons</w:t>
      </w:r>
      <w:r>
        <w:rPr>
          <w:rFonts w:ascii="Avenir Next LT Pro" w:hAnsi="Avenir Next LT Pro"/>
          <w:b w:val="0"/>
          <w:i w:val="0"/>
          <w:color w:val="1C4076"/>
          <w:sz w:val="22"/>
        </w:rPr>
        <w:t>”</w:t>
      </w:r>
      <w:r>
        <w:rPr>
          <w:rFonts w:ascii="Avenir Next LT Pro" w:hAnsi="Avenir Next LT Pro"/>
          <w:b w:val="0"/>
          <w:i w:val="0"/>
          <w:color w:val="1C4076"/>
          <w:sz w:val="22"/>
        </w:rPr>
        <w:t>) and such Reporting Persons</w:t>
      </w:r>
      <w:r>
        <w:rPr>
          <w:rFonts w:ascii="Avenir Next LT Pro" w:hAnsi="Avenir Next LT Pro"/>
          <w:b w:val="0"/>
          <w:i w:val="0"/>
          <w:color w:val="1C4076"/>
          <w:sz w:val="22"/>
        </w:rPr>
        <w:t>’</w:t>
      </w:r>
      <w:r>
        <w:rPr>
          <w:rFonts w:ascii="Avenir Next LT Pro" w:hAnsi="Avenir Next LT Pro"/>
          <w:b w:val="0"/>
          <w:i w:val="0"/>
          <w:color w:val="1C4076"/>
          <w:sz w:val="22"/>
        </w:rPr>
        <w:t xml:space="preserve"> Closely Associated Persons (e.g. spouses/cohabitants, dependent children, other relatives in the household, and companies controlled by the aforementioned persons and/or the Reporting Person) are by law subject to a separate notification obligation in respect of transactions with Shares, debt instruments or derivatives linked thereto. This notification obligation and certain other obligations for Reporting Persons are described in the internal rules regarding notification of transactions with Shares, debt instruments or derivatives linked thereto made by Reporting Persons and their Closely Associated Persons (</w:t>
      </w:r>
      <w:r>
        <w:rPr>
          <w:rFonts w:ascii="Avenir Next LT Pro" w:hAnsi="Avenir Next LT Pro"/>
          <w:b/>
          <w:i w:val="0"/>
          <w:color w:val="1C4076"/>
          <w:sz w:val="22"/>
        </w:rPr>
        <w:t>Part 3</w:t>
      </w:r>
      <w:r>
        <w:rPr>
          <w:rFonts w:ascii="Avenir Next LT Pro" w:hAnsi="Avenir Next LT Pro"/>
          <w:b w:val="0"/>
          <w:i w:val="0"/>
          <w:color w:val="1C4076"/>
          <w:sz w:val="22"/>
        </w:rPr>
        <w:t xml:space="preserve">). </w:t>
      </w:r>
    </w:p>
    <w:p>
      <w:pPr>
        <w:spacing w:after="200"/>
        <w:jc w:val="both"/>
      </w:pPr>
      <w:r>
        <w:rPr>
          <w:rFonts w:ascii="Avenir Next LT Pro" w:hAnsi="Avenir Next LT Pro"/>
          <w:b w:val="0"/>
          <w:i w:val="0"/>
          <w:color w:val="1C4076"/>
          <w:sz w:val="22"/>
        </w:rPr>
        <w:t>The Company’s Executive Management shall ensure that all relevant persons receive a copy of these rules or the relevant part(s) hereof.</w:t>
      </w:r>
    </w:p>
    <w:p>
      <w:pPr>
        <w:spacing w:after="200"/>
        <w:jc w:val="both"/>
      </w:pPr>
      <w:r>
        <w:rPr>
          <w:rFonts w:ascii="Avenir Next LT Pro" w:hAnsi="Avenir Next LT Pro"/>
          <w:b w:val="0"/>
          <w:i w:val="0"/>
          <w:color w:val="1C4076"/>
          <w:sz w:val="22"/>
        </w:rPr>
        <w:t>In connection with recruitment of new employees in the Company or within the Group, the Company’s Chief Legal Officer (with power of delegation) shall ensure that such new employees, where relevant, are made familiar with the relevant part(s) of the Internal Rules and becomes aware of the sanctions that may be applicable in case of any violation of the rules.</w:t>
      </w:r>
    </w:p>
    <w:p>
      <w:pPr>
        <w:keepNext/>
        <w:spacing w:before="260" w:after="160"/>
      </w:pPr>
      <w:r>
        <w:rPr>
          <w:rFonts w:ascii="Avenir Next LT Pro" w:hAnsi="Avenir Next LT Pro"/>
          <w:b/>
          <w:i w:val="0"/>
          <w:color w:val="1C4076"/>
          <w:sz w:val="28"/>
        </w:rPr>
        <w:t>Part 1 – Internal rules for Insiders</w:t>
      </w:r>
    </w:p>
    <w:p>
      <w:pPr>
        <w:keepNext/>
        <w:spacing w:before="260" w:after="160"/>
      </w:pPr>
      <w:r>
        <w:rPr>
          <w:rFonts w:ascii="Avenir Next LT Pro" w:hAnsi="Avenir Next LT Pro"/>
          <w:b/>
          <w:i w:val="0"/>
          <w:color w:val="1C4076"/>
          <w:sz w:val="28"/>
        </w:rPr>
        <w:t>1 Purpose</w:t>
      </w:r>
    </w:p>
    <w:p>
      <w:pPr>
        <w:spacing w:after="200"/>
        <w:jc w:val="both"/>
      </w:pPr>
      <w:r>
        <w:rPr>
          <w:rFonts w:ascii="Avenir Next LT Pro" w:hAnsi="Avenir Next LT Pro"/>
          <w:b w:val="0"/>
          <w:i w:val="0"/>
          <w:color w:val="1C4076"/>
          <w:sz w:val="22"/>
        </w:rPr>
        <w:t>The purpose of this Part 1 of the Internal Rules is to provide guidance on the handling of Inside Information and to prevent infringement of the prohibition on insider trading and participation in speculative transactions by governing access for members of the Board of Directors, members of the Executive Management and employees of the Company and the Group to deal for their own or any third party’s account in Shares related to the Company.</w:t>
      </w:r>
    </w:p>
    <w:p>
      <w:pPr>
        <w:spacing w:after="200"/>
        <w:jc w:val="both"/>
      </w:pPr>
      <w:r>
        <w:rPr>
          <w:rFonts w:ascii="Avenir Next LT Pro" w:hAnsi="Avenir Next LT Pro"/>
          <w:b w:val="0"/>
          <w:i w:val="0"/>
          <w:color w:val="1C4076"/>
          <w:sz w:val="22"/>
        </w:rPr>
        <w:t>Part 1 is addressed to any employee of the Group as well as the Board of Directors and Executive Management to the extent they are in possession of Inside Information (the “Insiders”) or subject to Trading Windows and Closed Periods.</w:t>
      </w:r>
    </w:p>
    <w:p>
      <w:pPr>
        <w:keepNext/>
        <w:spacing w:before="260" w:after="160"/>
      </w:pPr>
      <w:r>
        <w:rPr>
          <w:rFonts w:ascii="Avenir Next LT Pro" w:hAnsi="Avenir Next LT Pro"/>
          <w:b/>
          <w:i w:val="0"/>
          <w:color w:val="1C4076"/>
          <w:sz w:val="28"/>
        </w:rPr>
        <w:t>2 Implications of having Inside Information</w:t>
      </w:r>
    </w:p>
    <w:p>
      <w:pPr>
        <w:spacing w:after="200"/>
        <w:jc w:val="both"/>
      </w:pPr>
      <w:r>
        <w:rPr>
          <w:rFonts w:ascii="Avenir Next LT Pro" w:hAnsi="Avenir Next LT Pro"/>
          <w:b w:val="0"/>
          <w:i w:val="0"/>
          <w:color w:val="1C4076"/>
          <w:sz w:val="22"/>
        </w:rPr>
        <w:t>Receiving Inside Information will have the following implications for the Insider as further set out in this Part 1 of the Internal Rules:</w:t>
      </w:r>
    </w:p>
    <w:p>
      <w:pPr>
        <w:pStyle w:val="ListBullet"/>
        <w:spacing w:after="80"/>
      </w:pPr>
      <w:r>
        <w:rPr>
          <w:rFonts w:ascii="Avenir Next LT Pro" w:hAnsi="Avenir Next LT Pro"/>
          <w:b w:val="0"/>
          <w:i w:val="0"/>
          <w:color w:val="1C4076"/>
          <w:sz w:val="22"/>
        </w:rPr>
        <w:t>(a) The Insider will be included on the Company’s Insider List. Certain employees will also be included on a Restricted List (see section 3 below);</w:t>
      </w:r>
    </w:p>
    <w:p>
      <w:pPr>
        <w:pStyle w:val="ListBullet"/>
        <w:spacing w:after="80"/>
      </w:pPr>
      <w:r>
        <w:rPr>
          <w:rFonts w:ascii="Avenir Next LT Pro" w:hAnsi="Avenir Next LT Pro"/>
          <w:b w:val="0"/>
          <w:i w:val="0"/>
          <w:color w:val="1C4076"/>
          <w:sz w:val="22"/>
        </w:rPr>
        <w:t>(b) the Insider will be subject to the prohibition against disclosure of Inside Information (see section 4 below);</w:t>
      </w:r>
    </w:p>
    <w:p>
      <w:pPr>
        <w:pStyle w:val="ListBullet"/>
        <w:spacing w:after="80"/>
      </w:pPr>
      <w:r>
        <w:rPr>
          <w:rFonts w:ascii="Avenir Next LT Pro" w:hAnsi="Avenir Next LT Pro"/>
          <w:b w:val="0"/>
          <w:i w:val="0"/>
          <w:color w:val="1C4076"/>
          <w:sz w:val="22"/>
        </w:rPr>
        <w:t>(c) the Insider shall act in accordance with provided guidance on handling of Inside Information (see section 5);</w:t>
      </w:r>
    </w:p>
    <w:p>
      <w:pPr>
        <w:pStyle w:val="ListBullet"/>
        <w:spacing w:after="80"/>
      </w:pPr>
      <w:r>
        <w:rPr>
          <w:rFonts w:ascii="Avenir Next LT Pro" w:hAnsi="Avenir Next LT Pro"/>
          <w:b w:val="0"/>
          <w:i w:val="0"/>
          <w:color w:val="1C4076"/>
          <w:sz w:val="22"/>
        </w:rPr>
        <w:t>(d) the Insider will be subject to the prohibition against insider trading (see section 6); and</w:t>
      </w:r>
    </w:p>
    <w:p>
      <w:pPr>
        <w:pStyle w:val="ListBullet"/>
        <w:spacing w:after="80"/>
      </w:pPr>
      <w:r>
        <w:rPr>
          <w:rFonts w:ascii="Avenir Next LT Pro" w:hAnsi="Avenir Next LT Pro"/>
          <w:b w:val="0"/>
          <w:i w:val="0"/>
          <w:color w:val="1C4076"/>
          <w:sz w:val="22"/>
        </w:rPr>
        <w:t>(e) for members of the Board of Directors and Executive Management as well as other persons on the Permanent Insider List and Restricted List, the rules on Trading Windows and Closed Periods will apply (see section 8).</w:t>
      </w:r>
    </w:p>
    <w:p>
      <w:pPr>
        <w:spacing w:after="200"/>
        <w:jc w:val="both"/>
      </w:pPr>
      <w:r>
        <w:rPr>
          <w:rFonts w:ascii="Avenir Next LT Pro" w:hAnsi="Avenir Next LT Pro"/>
          <w:b w:val="0"/>
          <w:i w:val="0"/>
          <w:color w:val="1C4076"/>
          <w:sz w:val="22"/>
        </w:rPr>
        <w:t>The sanctions for violation of the prohibitions against disclosure of Inside Information, insider trading and market manipulation are set out in section 9.</w:t>
      </w:r>
    </w:p>
    <w:p>
      <w:pPr>
        <w:keepNext/>
        <w:spacing w:before="260" w:after="160"/>
      </w:pPr>
      <w:r>
        <w:rPr>
          <w:rFonts w:ascii="Avenir Next LT Pro" w:hAnsi="Avenir Next LT Pro"/>
          <w:b/>
          <w:i w:val="0"/>
          <w:color w:val="1C4076"/>
          <w:sz w:val="28"/>
        </w:rPr>
        <w:t>3 Insider List and Restricted List</w:t>
      </w:r>
    </w:p>
    <w:p>
      <w:pPr>
        <w:spacing w:after="200"/>
        <w:jc w:val="both"/>
      </w:pPr>
      <w:r>
        <w:rPr>
          <w:rFonts w:ascii="Avenir Next LT Pro" w:hAnsi="Avenir Next LT Pro"/>
          <w:b w:val="0"/>
          <w:i w:val="0"/>
          <w:color w:val="1C4076"/>
          <w:sz w:val="22"/>
        </w:rPr>
        <w:t>The Company shall prepare and on an on-going basis update Insider Lists of (i) all persons (natural or legal) who are working for the Company under a contract of employment, or (ii) who are otherwise performing tasks, in each case, through which they have access to Inside Information.</w:t>
      </w:r>
    </w:p>
    <w:p>
      <w:pPr>
        <w:spacing w:after="200"/>
        <w:jc w:val="both"/>
      </w:pPr>
      <w:r>
        <w:rPr>
          <w:rFonts w:ascii="Avenir Next LT Pro" w:hAnsi="Avenir Next LT Pro"/>
          <w:b w:val="0"/>
          <w:i w:val="0"/>
          <w:color w:val="1C4076"/>
          <w:sz w:val="22"/>
        </w:rPr>
        <w:t>The Insider Lists will be comprised of:</w:t>
      </w:r>
    </w:p>
    <w:p>
      <w:pPr>
        <w:pStyle w:val="ListBullet"/>
        <w:spacing w:after="80"/>
      </w:pPr>
      <w:r>
        <w:rPr>
          <w:rFonts w:ascii="Avenir Next LT Pro" w:hAnsi="Avenir Next LT Pro"/>
          <w:b w:val="0"/>
          <w:i w:val="0"/>
          <w:color w:val="1C4076"/>
          <w:sz w:val="22"/>
        </w:rPr>
        <w:t>(a) an ad-hoc insider list each relating to a specific piece of Inside Information (e.g. a particular transaction, significant contract, corporate or financial event) with each list including all persons, who have access to that piece of Inside Information (the “Ad-Hoc Insider List”); and</w:t>
      </w:r>
    </w:p>
    <w:p>
      <w:pPr>
        <w:pStyle w:val="ListBullet"/>
        <w:spacing w:after="80"/>
      </w:pPr>
      <w:r>
        <w:rPr>
          <w:rFonts w:ascii="Avenir Next LT Pro" w:hAnsi="Avenir Next LT Pro"/>
          <w:b w:val="0"/>
          <w:i w:val="0"/>
          <w:color w:val="1C4076"/>
          <w:sz w:val="22"/>
        </w:rPr>
        <w:t>(b) a permanent insider list which includes those persons who, as a result of their function or position in the Group, are deemed to have access at all times to all Inside Information that exists within the Company/Group (the “Permanent Insider List”).</w:t>
      </w:r>
    </w:p>
    <w:p>
      <w:pPr>
        <w:spacing w:after="200"/>
        <w:jc w:val="both"/>
      </w:pPr>
      <w:r>
        <w:rPr>
          <w:rFonts w:ascii="Avenir Next LT Pro" w:hAnsi="Avenir Next LT Pro"/>
          <w:b w:val="0"/>
          <w:i w:val="0"/>
          <w:color w:val="1C4076"/>
          <w:sz w:val="22"/>
        </w:rPr>
        <w:t>For the avoidance of doubt, an Ad-Hoc Insider List must always be set up even in the event that only persons on the Permanent Insider List are in possession of the specific piece of Inside Information. However, if a person is included on the Permanent Insider List, such person is not required to also be included on an Ad-Hoc Insider List and if only persons included on the Permanent Insider List has access to the Inside Information, the Ad-Hoc Insider List can be left blank except for the description of the specific piece of Inside Information to which the Ad-Hoc Insider List relates.</w:t>
      </w:r>
    </w:p>
    <w:p>
      <w:pPr>
        <w:spacing w:after="200"/>
        <w:jc w:val="both"/>
      </w:pPr>
      <w:r>
        <w:rPr>
          <w:rFonts w:ascii="Avenir Next LT Pro" w:hAnsi="Avenir Next LT Pro"/>
          <w:b w:val="0"/>
          <w:i w:val="0"/>
          <w:color w:val="1C4076"/>
          <w:sz w:val="22"/>
        </w:rPr>
        <w:t>The following persons shall be included on the Permanent Insider List:</w:t>
      </w:r>
    </w:p>
    <w:p>
      <w:pPr>
        <w:pStyle w:val="ListBullet"/>
        <w:spacing w:after="80"/>
      </w:pPr>
      <w:r>
        <w:rPr>
          <w:rFonts w:ascii="Avenir Next LT Pro" w:hAnsi="Avenir Next LT Pro"/>
          <w:b w:val="0"/>
          <w:i w:val="0"/>
          <w:color w:val="1C4076"/>
          <w:sz w:val="22"/>
        </w:rPr>
        <w:t>(a) Members of the Board of Directors and Executive Management;</w:t>
      </w:r>
    </w:p>
    <w:p>
      <w:pPr>
        <w:pStyle w:val="ListBullet"/>
        <w:spacing w:after="80"/>
      </w:pPr>
      <w:r>
        <w:rPr>
          <w:rFonts w:ascii="Avenir Next LT Pro" w:hAnsi="Avenir Next LT Pro"/>
          <w:b w:val="0"/>
          <w:i w:val="0"/>
          <w:color w:val="1C4076"/>
          <w:sz w:val="22"/>
        </w:rPr>
        <w:t>(b) any personal assistant (or similar) to a member of the Board of Directors or a member of the Executive Management (to the extent such person has full access to information received by such management member, e.g. through e-mail inbox and calendar access); and</w:t>
      </w:r>
    </w:p>
    <w:p>
      <w:pPr>
        <w:pStyle w:val="ListBullet"/>
        <w:spacing w:after="80"/>
      </w:pPr>
      <w:r>
        <w:rPr>
          <w:rFonts w:ascii="Avenir Next LT Pro" w:hAnsi="Avenir Next LT Pro"/>
          <w:b w:val="0"/>
          <w:i w:val="0"/>
          <w:color w:val="1C4076"/>
          <w:sz w:val="22"/>
        </w:rPr>
        <w:t>(c) a limited number of certain other employees with access at all times to all Inside Information, if relevant, in each case as decided by the Chair of the Board of Directors after consultation with the Executive Management.</w:t>
      </w:r>
    </w:p>
    <w:p>
      <w:pPr>
        <w:spacing w:after="200"/>
        <w:jc w:val="both"/>
      </w:pPr>
      <w:r>
        <w:rPr>
          <w:rFonts w:ascii="Avenir Next LT Pro" w:hAnsi="Avenir Next LT Pro"/>
          <w:b w:val="0"/>
          <w:i w:val="0"/>
          <w:color w:val="1C4076"/>
          <w:sz w:val="22"/>
        </w:rPr>
        <w:t>The Insider List shall contain the following information:</w:t>
      </w:r>
    </w:p>
    <w:p>
      <w:pPr>
        <w:pStyle w:val="ListBullet"/>
        <w:spacing w:after="80"/>
      </w:pPr>
      <w:r>
        <w:rPr>
          <w:rFonts w:ascii="Avenir Next LT Pro" w:hAnsi="Avenir Next LT Pro"/>
          <w:b w:val="0"/>
          <w:i w:val="0"/>
          <w:color w:val="1C4076"/>
          <w:sz w:val="22"/>
        </w:rPr>
        <w:t>(a) The identity of the Insider in the form of:</w:t>
      </w:r>
    </w:p>
    <w:p>
      <w:pPr>
        <w:pStyle w:val="ListBullet"/>
        <w:spacing w:after="80"/>
      </w:pPr>
      <w:r>
        <w:rPr>
          <w:rFonts w:ascii="Avenir Next LT Pro" w:hAnsi="Avenir Next LT Pro"/>
          <w:b w:val="0"/>
          <w:i w:val="0"/>
          <w:color w:val="1C4076"/>
          <w:sz w:val="22"/>
        </w:rPr>
        <w:t>(i) Name: first name(s), surname(s), birth surname(s) (if different to current surname(s));</w:t>
      </w:r>
    </w:p>
    <w:p>
      <w:pPr>
        <w:pStyle w:val="ListBullet"/>
        <w:spacing w:after="80"/>
      </w:pPr>
      <w:r>
        <w:rPr>
          <w:rFonts w:ascii="Avenir Next LT Pro" w:hAnsi="Avenir Next LT Pro"/>
          <w:b w:val="0"/>
          <w:i w:val="0"/>
          <w:color w:val="1C4076"/>
          <w:sz w:val="22"/>
        </w:rPr>
        <w:t>(ii) work direct line and work mobile telephone numbers;</w:t>
      </w:r>
    </w:p>
    <w:p>
      <w:pPr>
        <w:pStyle w:val="ListBullet"/>
        <w:spacing w:after="80"/>
      </w:pPr>
      <w:r>
        <w:rPr>
          <w:rFonts w:ascii="Avenir Next LT Pro" w:hAnsi="Avenir Next LT Pro"/>
          <w:b w:val="0"/>
          <w:i w:val="0"/>
          <w:color w:val="1C4076"/>
          <w:sz w:val="22"/>
        </w:rPr>
        <w:t>(iii) company name and address;</w:t>
      </w:r>
    </w:p>
    <w:p>
      <w:pPr>
        <w:pStyle w:val="ListBullet"/>
        <w:spacing w:after="80"/>
      </w:pPr>
      <w:r>
        <w:rPr>
          <w:rFonts w:ascii="Avenir Next LT Pro" w:hAnsi="Avenir Next LT Pro"/>
          <w:b w:val="0"/>
          <w:i w:val="0"/>
          <w:color w:val="1C4076"/>
          <w:sz w:val="22"/>
        </w:rPr>
        <w:t>(iv) national identification number (where applicable);</w:t>
      </w:r>
    </w:p>
    <w:p>
      <w:pPr>
        <w:pStyle w:val="ListBullet"/>
        <w:spacing w:after="80"/>
      </w:pPr>
      <w:r>
        <w:rPr>
          <w:rFonts w:ascii="Avenir Next LT Pro" w:hAnsi="Avenir Next LT Pro"/>
          <w:b w:val="0"/>
          <w:i w:val="0"/>
          <w:color w:val="1C4076"/>
          <w:sz w:val="22"/>
        </w:rPr>
        <w:t>(v) date of birth;</w:t>
      </w:r>
    </w:p>
    <w:p>
      <w:pPr>
        <w:pStyle w:val="ListBullet"/>
        <w:spacing w:after="80"/>
      </w:pPr>
      <w:r>
        <w:rPr>
          <w:rFonts w:ascii="Avenir Next LT Pro" w:hAnsi="Avenir Next LT Pro"/>
          <w:b w:val="0"/>
          <w:i w:val="0"/>
          <w:color w:val="1C4076"/>
          <w:sz w:val="22"/>
        </w:rPr>
        <w:t>(vi) personal full address, street name, street number, city, postal/zip code and country; and</w:t>
      </w:r>
    </w:p>
    <w:p>
      <w:pPr>
        <w:pStyle w:val="ListBullet"/>
        <w:spacing w:after="80"/>
      </w:pPr>
      <w:r>
        <w:rPr>
          <w:rFonts w:ascii="Avenir Next LT Pro" w:hAnsi="Avenir Next LT Pro"/>
          <w:b w:val="0"/>
          <w:i w:val="0"/>
          <w:color w:val="1C4076"/>
          <w:sz w:val="22"/>
        </w:rPr>
        <w:t>(vii) personal home and personal mobile telephone numbers.</w:t>
      </w:r>
    </w:p>
    <w:p>
      <w:pPr>
        <w:pStyle w:val="ListBullet"/>
        <w:spacing w:after="80"/>
      </w:pPr>
      <w:r>
        <w:rPr>
          <w:rFonts w:ascii="Avenir Next LT Pro" w:hAnsi="Avenir Next LT Pro"/>
          <w:b w:val="0"/>
          <w:i w:val="0"/>
          <w:color w:val="1C4076"/>
          <w:sz w:val="22"/>
        </w:rPr>
        <w:t>(b) function and the reason for the Insider being on the Insider List;</w:t>
      </w:r>
    </w:p>
    <w:p>
      <w:pPr>
        <w:pStyle w:val="ListBullet"/>
        <w:spacing w:after="80"/>
      </w:pPr>
      <w:r>
        <w:rPr>
          <w:rFonts w:ascii="Avenir Next LT Pro" w:hAnsi="Avenir Next LT Pro"/>
          <w:b w:val="0"/>
          <w:i w:val="0"/>
          <w:color w:val="1C4076"/>
          <w:sz w:val="22"/>
        </w:rPr>
        <w:t>(c) the date and time on which the Insider obtained access or ceased to have access to Inside Information; and</w:t>
      </w:r>
    </w:p>
    <w:p>
      <w:pPr>
        <w:pStyle w:val="ListBullet"/>
        <w:spacing w:after="80"/>
      </w:pPr>
      <w:r>
        <w:rPr>
          <w:rFonts w:ascii="Avenir Next LT Pro" w:hAnsi="Avenir Next LT Pro"/>
          <w:b w:val="0"/>
          <w:i w:val="0"/>
          <w:color w:val="1C4076"/>
          <w:sz w:val="22"/>
        </w:rPr>
        <w:t>(d) the date and time for the last update of the Insider List as well as the date of transmission of the Insider List to the competent authority (e.g. the Danish Financial Supervisory Authority).</w:t>
      </w:r>
    </w:p>
    <w:p>
      <w:pPr>
        <w:spacing w:after="200"/>
        <w:jc w:val="both"/>
      </w:pPr>
      <w:r>
        <w:rPr>
          <w:rFonts w:ascii="Avenir Next LT Pro" w:hAnsi="Avenir Next LT Pro"/>
          <w:b w:val="0"/>
          <w:i w:val="0"/>
          <w:color w:val="1C4076"/>
          <w:sz w:val="22"/>
        </w:rPr>
        <w:t>An Insider List shall be updated immediately:</w:t>
      </w:r>
    </w:p>
    <w:p>
      <w:pPr>
        <w:pStyle w:val="ListBullet"/>
        <w:spacing w:after="80"/>
      </w:pPr>
      <w:r>
        <w:rPr>
          <w:rFonts w:ascii="Avenir Next LT Pro" w:hAnsi="Avenir Next LT Pro"/>
          <w:b w:val="0"/>
          <w:i w:val="0"/>
          <w:color w:val="1C4076"/>
          <w:sz w:val="22"/>
        </w:rPr>
        <w:t>(a) If there is a change in the reason why a person is included on the Insider List;</w:t>
      </w:r>
    </w:p>
    <w:p>
      <w:pPr>
        <w:pStyle w:val="ListBullet"/>
        <w:spacing w:after="80"/>
      </w:pPr>
      <w:r>
        <w:rPr>
          <w:rFonts w:ascii="Avenir Next LT Pro" w:hAnsi="Avenir Next LT Pro"/>
          <w:b w:val="0"/>
          <w:i w:val="0"/>
          <w:color w:val="1C4076"/>
          <w:sz w:val="22"/>
        </w:rPr>
        <w:t>(b) If a new person needs to be added to the Insider List; and</w:t>
      </w:r>
    </w:p>
    <w:p>
      <w:pPr>
        <w:pStyle w:val="ListBullet"/>
        <w:spacing w:after="80"/>
      </w:pPr>
      <w:r>
        <w:rPr>
          <w:rFonts w:ascii="Avenir Next LT Pro" w:hAnsi="Avenir Next LT Pro"/>
          <w:b w:val="0"/>
          <w:i w:val="0"/>
          <w:color w:val="1C4076"/>
          <w:sz w:val="22"/>
        </w:rPr>
        <w:t>(c) If a person on the Insider List no longer has access to Inside Information.</w:t>
      </w:r>
    </w:p>
    <w:p>
      <w:pPr>
        <w:spacing w:after="200"/>
        <w:jc w:val="both"/>
      </w:pPr>
      <w:r>
        <w:rPr>
          <w:rFonts w:ascii="Avenir Next LT Pro" w:hAnsi="Avenir Next LT Pro"/>
          <w:b w:val="0"/>
          <w:i w:val="0"/>
          <w:color w:val="1C4076"/>
          <w:sz w:val="22"/>
        </w:rPr>
        <w:t>The Insider will be requested to acknowledge in writing that he/she is included on the Insider List, the consequential legal and regulatory duties and that the Insider is aware of the sanctions applicable to insider dealing and unlawful disclosure of inside information.</w:t>
      </w:r>
    </w:p>
    <w:p>
      <w:pPr>
        <w:spacing w:after="200"/>
        <w:jc w:val="both"/>
      </w:pPr>
      <w:r>
        <w:rPr>
          <w:rFonts w:ascii="Avenir Next LT Pro" w:hAnsi="Avenir Next LT Pro"/>
          <w:b w:val="0"/>
          <w:i w:val="0"/>
          <w:color w:val="1C4076"/>
          <w:sz w:val="22"/>
        </w:rPr>
        <w:t>A person shall only be regarded as an Insider as long as the person in question has access to Inside Information. Consequently, when a person on an Ad-Hoc Insider List ceases to have access to the specific piece of Inside Information to which the Ad-Hoc Insider List relates, the Ad-Hoc Insider List shall be updated to reflect this. Persons included on the Permanent Insider List shall be included on the Permanent Insider List as long as such person holds a relevant position as set out in section 3.4.</w:t>
      </w:r>
    </w:p>
    <w:p>
      <w:pPr>
        <w:spacing w:after="200"/>
        <w:jc w:val="both"/>
      </w:pPr>
      <w:r>
        <w:rPr>
          <w:rFonts w:ascii="Avenir Next LT Pro" w:hAnsi="Avenir Next LT Pro"/>
          <w:b w:val="0"/>
          <w:i w:val="0"/>
          <w:color w:val="1C4076"/>
          <w:sz w:val="22"/>
        </w:rPr>
        <w:t>The Executive Management has appointed the Company’s Chief Legal Officer (with power of delegation) to handle the day-to-day update of the Insider List, which may be kept and administered by an external third party provider. Any employee approving the hiring of external parties (i.e. persons which are not employees of the Company or the Group) who in connection with performing their tasks for the Company or the Group will need to obtain access to Inside Information, is obliged to provide the Company’s Chief Legal Officer (with power of delegation) with the information necessary for the third party in question to be included on the Insider List.</w:t>
      </w:r>
    </w:p>
    <w:p>
      <w:pPr>
        <w:spacing w:after="200"/>
        <w:jc w:val="both"/>
      </w:pPr>
      <w:r>
        <w:rPr>
          <w:rFonts w:ascii="Avenir Next LT Pro" w:hAnsi="Avenir Next LT Pro"/>
          <w:b w:val="0"/>
          <w:i w:val="0"/>
          <w:color w:val="1C4076"/>
          <w:sz w:val="22"/>
        </w:rPr>
        <w:t>Insider Lists will be kept for at least five years after preparation and updating of the relevant list.</w:t>
      </w:r>
    </w:p>
    <w:p>
      <w:pPr>
        <w:spacing w:after="200"/>
        <w:jc w:val="both"/>
      </w:pPr>
      <w:r>
        <w:rPr>
          <w:rFonts w:ascii="Avenir Next LT Pro" w:hAnsi="Avenir Next LT Pro"/>
          <w:b w:val="0"/>
          <w:i w:val="0"/>
          <w:color w:val="1C4076"/>
          <w:sz w:val="22"/>
        </w:rPr>
        <w:t>In addition to the Insider Lists, the Company will keep a list of certain key employees which the Company considers may have access to Inside Information on a regular basis but who are not considered permanent insiders in accordance with section 3.4 (the “Restricted List”). The Restricted List is not an Insider List and the persons on it are not automatically regarded as Insiders, but the list is kept for internal purposes to keep record of employees involved in confidential processes which may become Inside Information. Persons on the Restricted List will be subject to Trading Windows as set out in section 8.</w:t>
      </w:r>
    </w:p>
    <w:p>
      <w:pPr>
        <w:keepNext/>
        <w:spacing w:before="260" w:after="160"/>
      </w:pPr>
      <w:r>
        <w:rPr>
          <w:rFonts w:ascii="Avenir Next LT Pro" w:hAnsi="Avenir Next LT Pro"/>
          <w:b/>
          <w:i w:val="0"/>
          <w:color w:val="1C4076"/>
          <w:sz w:val="28"/>
        </w:rPr>
        <w:t>4 Prohibition against disclosure of Inside Information</w:t>
      </w:r>
    </w:p>
    <w:p>
      <w:pPr>
        <w:spacing w:after="200"/>
        <w:jc w:val="both"/>
      </w:pPr>
      <w:r>
        <w:rPr>
          <w:rFonts w:ascii="Avenir Next LT Pro" w:hAnsi="Avenir Next LT Pro"/>
          <w:b w:val="0"/>
          <w:i w:val="0"/>
          <w:color w:val="1C4076"/>
          <w:sz w:val="22"/>
        </w:rPr>
        <w:t>Insiders may not disclose Inside Information to any other person unless such disclosure is in the Company’s interest and made on a need to know basis within the normal exercise of the disclosing person’s employment, profession or duties.</w:t>
      </w:r>
    </w:p>
    <w:p>
      <w:pPr>
        <w:spacing w:after="200"/>
        <w:jc w:val="both"/>
      </w:pPr>
      <w:r>
        <w:rPr>
          <w:rFonts w:ascii="Avenir Next LT Pro" w:hAnsi="Avenir Next LT Pro"/>
          <w:b w:val="0"/>
          <w:i w:val="0"/>
          <w:color w:val="1C4076"/>
          <w:sz w:val="22"/>
        </w:rPr>
        <w:t>Disclosure of Inside Information is thus prohibited both in relation to colleagues within the Company/Group as well as in relation to third parties or related parties, such as family members, friends and acquaintances.</w:t>
      </w:r>
    </w:p>
    <w:p>
      <w:pPr>
        <w:spacing w:after="200"/>
        <w:jc w:val="both"/>
      </w:pPr>
      <w:r>
        <w:rPr>
          <w:rFonts w:ascii="Avenir Next LT Pro" w:hAnsi="Avenir Next LT Pro"/>
          <w:b w:val="0"/>
          <w:i w:val="0"/>
          <w:color w:val="1C4076"/>
          <w:sz w:val="22"/>
        </w:rPr>
        <w:t>There are three exceptions to this prohibition:</w:t>
      </w:r>
    </w:p>
    <w:p>
      <w:pPr>
        <w:pStyle w:val="ListBullet"/>
        <w:spacing w:after="80"/>
      </w:pPr>
      <w:r>
        <w:rPr>
          <w:rFonts w:ascii="Avenir Next LT Pro" w:hAnsi="Avenir Next LT Pro"/>
          <w:b w:val="0"/>
          <w:i w:val="0"/>
          <w:color w:val="1C4076"/>
          <w:sz w:val="22"/>
        </w:rPr>
        <w:t>(a) Disclosure of Inside Information may take place to colleagues within the Company and/or the Group if such person has a relevant work-related need to receive the Inside Information in question in order to fulfil his/her duties within the Company and/or the Group. In cases of doubt as to whether disclosure may take place to a colleague the Company’s Chief Legal Officer (with power of delegation) shall be contacted for an assessment. In any case, the Company’s Chief Legal Officer (with power of delegation) shall be informed of the disclosure to ensure that the colleague can be added to the relevant Ad-Hoc Insider List;</w:t>
      </w:r>
    </w:p>
    <w:p>
      <w:pPr>
        <w:pStyle w:val="ListBullet"/>
        <w:spacing w:after="80"/>
      </w:pPr>
      <w:r>
        <w:rPr>
          <w:rFonts w:ascii="Avenir Next LT Pro" w:hAnsi="Avenir Next LT Pro"/>
          <w:b w:val="0"/>
          <w:i w:val="0"/>
          <w:color w:val="1C4076"/>
          <w:sz w:val="22"/>
        </w:rPr>
        <w:t>(b) Disclosure of Inside Information may take place to external third parties to the extent it is necessary and in the interest of the Company and provided that the third party receiving the Inside Information is subject to a duty of confidentiality under legislation, administrative provisions or contract and that the third party receiving the Inside Information is expressly informed that he/she is receiving Inside Information and that such may not be disclosed to anyone; and</w:t>
      </w:r>
    </w:p>
    <w:p>
      <w:pPr>
        <w:pStyle w:val="ListBullet"/>
        <w:spacing w:after="80"/>
      </w:pPr>
      <w:r>
        <w:rPr>
          <w:rFonts w:ascii="Avenir Next LT Pro" w:hAnsi="Avenir Next LT Pro"/>
          <w:b w:val="0"/>
          <w:i w:val="0"/>
          <w:color w:val="1C4076"/>
          <w:sz w:val="22"/>
        </w:rPr>
        <w:t>(c) Disclosure of Inside Information to third parties may take place as part of a market sounding in accordance with article 11 of the Market Abuse Regulation.</w:t>
      </w:r>
    </w:p>
    <w:p>
      <w:pPr>
        <w:spacing w:after="200"/>
        <w:jc w:val="both"/>
      </w:pPr>
      <w:r>
        <w:rPr>
          <w:rFonts w:ascii="Avenir Next LT Pro" w:hAnsi="Avenir Next LT Pro"/>
          <w:b w:val="0"/>
          <w:i w:val="0"/>
          <w:color w:val="1C4076"/>
          <w:sz w:val="22"/>
        </w:rPr>
        <w:t>In case of disclosure of Inside Information in accordance with any of the exceptions as set out in Clause 4.3 above, the Company’s Chief Legal Officer (with power of delegation) must be notified immediately in order to register the person who will get access to the Inside Information on the Company’s Ad-Hoc Insider List.</w:t>
      </w:r>
    </w:p>
    <w:p>
      <w:pPr>
        <w:spacing w:after="200"/>
        <w:jc w:val="both"/>
      </w:pPr>
      <w:r>
        <w:rPr>
          <w:rFonts w:ascii="Avenir Next LT Pro" w:hAnsi="Avenir Next LT Pro"/>
          <w:b w:val="0"/>
          <w:i w:val="0"/>
          <w:color w:val="1C4076"/>
          <w:sz w:val="22"/>
        </w:rPr>
        <w:t>If an employee suspects that Inside Information has been unlawfully disclosed, whether intended or not (e.g. an information leak), the Company’s Chief Legal Officer (with power of delegation) shall immediately be contacted.</w:t>
      </w:r>
    </w:p>
    <w:p>
      <w:pPr>
        <w:spacing w:after="200"/>
        <w:jc w:val="both"/>
      </w:pPr>
      <w:r>
        <w:rPr>
          <w:rFonts w:ascii="Avenir Next LT Pro" w:hAnsi="Avenir Next LT Pro"/>
          <w:b w:val="0"/>
          <w:i w:val="0"/>
          <w:color w:val="1C4076"/>
          <w:sz w:val="22"/>
        </w:rPr>
        <w:t>The prohibition against disclosure of Inside Information applies also after an Insider resigns from the Company or the Group and applies for as long as the Inside Information is qualified as such.</w:t>
      </w:r>
    </w:p>
    <w:p>
      <w:pPr>
        <w:keepNext/>
        <w:spacing w:before="260" w:after="160"/>
      </w:pPr>
      <w:r>
        <w:rPr>
          <w:rFonts w:ascii="Avenir Next LT Pro" w:hAnsi="Avenir Next LT Pro"/>
          <w:b/>
          <w:i w:val="0"/>
          <w:color w:val="1C4076"/>
          <w:sz w:val="28"/>
        </w:rPr>
        <w:t>5 Handling of Inside Information</w:t>
      </w:r>
    </w:p>
    <w:p>
      <w:pPr>
        <w:spacing w:after="200"/>
        <w:jc w:val="both"/>
      </w:pPr>
      <w:r>
        <w:rPr>
          <w:rFonts w:ascii="Avenir Next LT Pro" w:hAnsi="Avenir Next LT Pro"/>
          <w:b w:val="0"/>
          <w:i w:val="0"/>
          <w:color w:val="1C4076"/>
          <w:sz w:val="22"/>
        </w:rPr>
        <w:t>All Insiders must ensure that Inside Information is treated as strictly confidential and that it is accessible only to persons with a legitimate right to obtain it.</w:t>
      </w:r>
    </w:p>
    <w:p>
      <w:pPr>
        <w:spacing w:after="200"/>
        <w:jc w:val="both"/>
      </w:pPr>
      <w:r>
        <w:rPr>
          <w:rFonts w:ascii="Avenir Next LT Pro" w:hAnsi="Avenir Next LT Pro"/>
          <w:b w:val="0"/>
          <w:i w:val="0"/>
          <w:color w:val="1C4076"/>
          <w:sz w:val="22"/>
        </w:rPr>
        <w:t>Employees within the Group who in the course of their work receive documents, letters, memoranda, emails etc. containing Inside Information (“Documents”) are obliged to store the Documents in a manner that minimises the risk of unintended disclosure of the information to unauthorised persons, i.e. persons not onboarded to the same project or not in possession of the Inside Information in general. The following guidelines should be observed at all times:</w:t>
      </w:r>
    </w:p>
    <w:p>
      <w:pPr>
        <w:pStyle w:val="ListBullet"/>
        <w:spacing w:after="80"/>
      </w:pPr>
      <w:r>
        <w:rPr>
          <w:rFonts w:ascii="Avenir Next LT Pro" w:hAnsi="Avenir Next LT Pro"/>
          <w:b w:val="0"/>
          <w:i w:val="0"/>
          <w:color w:val="1C4076"/>
          <w:sz w:val="22"/>
        </w:rPr>
        <w:t>(a) Being attentive in connection with copying and forwarding Documents, including in the use of emails;</w:t>
      </w:r>
    </w:p>
    <w:p>
      <w:pPr>
        <w:pStyle w:val="ListBullet"/>
        <w:spacing w:after="80"/>
      </w:pPr>
      <w:r>
        <w:rPr>
          <w:rFonts w:ascii="Avenir Next LT Pro" w:hAnsi="Avenir Next LT Pro"/>
          <w:b w:val="0"/>
          <w:i w:val="0"/>
          <w:color w:val="1C4076"/>
          <w:sz w:val="22"/>
        </w:rPr>
        <w:t>(b) Forwarding of confidential messages, letters and emails are coordinated in such a way that only the proper recipient will receive the forwarded Document and so that, depending on the circumstances, for example a password is used to access the Document, and encryption may also be used;</w:t>
      </w:r>
    </w:p>
    <w:p>
      <w:pPr>
        <w:pStyle w:val="ListBullet"/>
        <w:spacing w:after="80"/>
      </w:pPr>
      <w:r>
        <w:rPr>
          <w:rFonts w:ascii="Avenir Next LT Pro" w:hAnsi="Avenir Next LT Pro"/>
          <w:b w:val="0"/>
          <w:i w:val="0"/>
          <w:color w:val="1C4076"/>
          <w:sz w:val="22"/>
        </w:rPr>
        <w:t>(c) Access to Inside Information in electronic form, including storage of text, is secured and limited to the relevant persons by the use of passwords etc. which will prevent persons, who do not need the information, from gaining access to it;</w:t>
      </w:r>
    </w:p>
    <w:p>
      <w:pPr>
        <w:pStyle w:val="ListBullet"/>
        <w:spacing w:after="80"/>
      </w:pPr>
      <w:r>
        <w:rPr>
          <w:rFonts w:ascii="Avenir Next LT Pro" w:hAnsi="Avenir Next LT Pro"/>
          <w:b w:val="0"/>
          <w:i w:val="0"/>
          <w:color w:val="1C4076"/>
          <w:sz w:val="22"/>
        </w:rPr>
        <w:t>(d) That shredding of all drafts and Documents that do not need to be kept takes place as soon as practically possible if deemed appropriate, and that confidential material is not left in places where it is available for unauthorised persons;</w:t>
      </w:r>
    </w:p>
    <w:p>
      <w:pPr>
        <w:pStyle w:val="ListBullet"/>
        <w:spacing w:after="80"/>
      </w:pPr>
      <w:r>
        <w:rPr>
          <w:rFonts w:ascii="Avenir Next LT Pro" w:hAnsi="Avenir Next LT Pro"/>
          <w:b w:val="0"/>
          <w:i w:val="0"/>
          <w:color w:val="1C4076"/>
          <w:sz w:val="22"/>
        </w:rPr>
        <w:t>(e) Confidential matters and information, e.g. on projects such as large acquisitions, divestments, mergers, take-over bids and material new contracts, the disclosure of which would be likely to have a significant effect on the price of the Shares, are referred to by a code name or anonymously; and</w:t>
      </w:r>
    </w:p>
    <w:p>
      <w:pPr>
        <w:pStyle w:val="ListBullet"/>
        <w:spacing w:after="80"/>
      </w:pPr>
      <w:r>
        <w:rPr>
          <w:rFonts w:ascii="Avenir Next LT Pro" w:hAnsi="Avenir Next LT Pro"/>
          <w:b w:val="0"/>
          <w:i w:val="0"/>
          <w:color w:val="1C4076"/>
          <w:sz w:val="22"/>
        </w:rPr>
        <w:t>(f) Documents are placed in a file in a cabinet and that all cabinets, which contain files with Documents, are locked when leaving the office at the end of the workday.</w:t>
      </w:r>
    </w:p>
    <w:p>
      <w:pPr>
        <w:spacing w:after="200"/>
        <w:jc w:val="both"/>
      </w:pPr>
      <w:r>
        <w:rPr>
          <w:rFonts w:ascii="Avenir Next LT Pro" w:hAnsi="Avenir Next LT Pro"/>
          <w:b w:val="0"/>
          <w:i w:val="0"/>
          <w:color w:val="1C4076"/>
          <w:sz w:val="22"/>
        </w:rPr>
        <w:t>If in doubt as to whether the information is Inside Information or not, an employee should treat the information as Inside Information and consult the Company’s Chief Legal Officer (with power of delegation) for an assessment.</w:t>
      </w:r>
    </w:p>
    <w:p>
      <w:pPr>
        <w:spacing w:after="200"/>
        <w:jc w:val="both"/>
      </w:pPr>
      <w:r>
        <w:rPr>
          <w:rFonts w:ascii="Avenir Next LT Pro" w:hAnsi="Avenir Next LT Pro"/>
          <w:b w:val="0"/>
          <w:i w:val="0"/>
          <w:color w:val="1C4076"/>
          <w:sz w:val="22"/>
        </w:rPr>
        <w:t>If an employee becomes aware of Inside Information which has not been identified, the employee shall immediately inform the Company’s Chief Legal Officer (with power of delegation) hereof.</w:t>
      </w:r>
    </w:p>
    <w:p>
      <w:pPr>
        <w:keepNext/>
        <w:spacing w:before="260" w:after="160"/>
      </w:pPr>
      <w:r>
        <w:rPr>
          <w:rFonts w:ascii="Avenir Next LT Pro" w:hAnsi="Avenir Next LT Pro"/>
          <w:b/>
          <w:i w:val="0"/>
          <w:color w:val="1C4076"/>
          <w:sz w:val="28"/>
        </w:rPr>
        <w:t>6 Prohibition on insider trading</w:t>
      </w:r>
    </w:p>
    <w:p>
      <w:pPr>
        <w:spacing w:after="200"/>
        <w:jc w:val="both"/>
      </w:pPr>
      <w:r>
        <w:rPr>
          <w:rFonts w:ascii="Avenir Next LT Pro" w:hAnsi="Avenir Next LT Pro"/>
          <w:b w:val="0"/>
          <w:i w:val="0"/>
          <w:color w:val="1C4076"/>
          <w:sz w:val="22"/>
        </w:rPr>
        <w:t>Purchase, sale or recommendation to buy or sell Shares or cancellation or amendment of an order concerning Shares or any attempts of the aforementioned may not be performed by any person with Inside Information.</w:t>
      </w:r>
    </w:p>
    <w:p>
      <w:pPr>
        <w:spacing w:after="200"/>
        <w:jc w:val="both"/>
      </w:pPr>
      <w:r>
        <w:rPr>
          <w:rFonts w:ascii="Avenir Next LT Pro" w:hAnsi="Avenir Next LT Pro"/>
          <w:b w:val="0"/>
          <w:i w:val="0"/>
          <w:color w:val="1C4076"/>
          <w:sz w:val="22"/>
        </w:rPr>
        <w:t>The prohibition against insider trading does not apply to buying or selling of Shares conducted in the discharge of an obligation, provided that the obligation has become due at the time of the transaction and where that obligation results from an agreement concluded before the person concerned possessed Inside Information. If in doubt as to whether a contemplated transaction may fall under this exemption, the Insider shall consult the Company’s Chief Legal Officer (with power of delegation) for an assessment.</w:t>
      </w:r>
    </w:p>
    <w:p>
      <w:pPr>
        <w:spacing w:after="200"/>
        <w:jc w:val="both"/>
      </w:pPr>
      <w:r>
        <w:rPr>
          <w:rFonts w:ascii="Avenir Next LT Pro" w:hAnsi="Avenir Next LT Pro"/>
          <w:b w:val="0"/>
          <w:i w:val="0"/>
          <w:color w:val="1C4076"/>
          <w:sz w:val="22"/>
        </w:rPr>
        <w:t>The prohibition applies to any person who has Inside Information, regardless of whether the person in question is included on the Company’s Insider List or not and irrespective of the person being appointed or employed with the Company or the Group.</w:t>
      </w:r>
    </w:p>
    <w:p>
      <w:pPr>
        <w:keepNext/>
        <w:spacing w:before="260" w:after="160"/>
      </w:pPr>
      <w:r>
        <w:rPr>
          <w:rFonts w:ascii="Avenir Next LT Pro" w:hAnsi="Avenir Next LT Pro"/>
          <w:b/>
          <w:i w:val="0"/>
          <w:color w:val="1C4076"/>
          <w:sz w:val="28"/>
        </w:rPr>
        <w:t>7 Prohibition on market manipulation and speculation</w:t>
      </w:r>
    </w:p>
    <w:p>
      <w:pPr>
        <w:spacing w:after="200"/>
        <w:jc w:val="both"/>
      </w:pPr>
      <w:r>
        <w:rPr>
          <w:rFonts w:ascii="Avenir Next LT Pro" w:hAnsi="Avenir Next LT Pro"/>
          <w:b w:val="0"/>
          <w:i w:val="0"/>
          <w:color w:val="1C4076"/>
          <w:sz w:val="22"/>
        </w:rPr>
        <w:t>Market manipulation or attempt thereof is prohibited. Market manipulation refers to actions which are capable of influencing the price of the Shares in a direction deviating from their (fair) value in the market had it not been for the market manipulation. Several types of actions can be comprised by the prohibition on market manipulation, e.g. (non-exhaustive) (i) dissemination of false information about the Company or the Group, (ii) dissemination of false information regarding the supply or demand for the Shares, (iii) transactions or orders to trade likely to give false or misleading signals about the supply of, demand for or price of the Shares, (iv) transactions intended to secure an abnormal or artificial pricing of the Shares, and (v) transactions in Shares at the opening or closing of the market which have or are likely to have the effect of misleading investors acting on the basis of the prices displayed, including the opening and closing price.</w:t>
      </w:r>
    </w:p>
    <w:p>
      <w:pPr>
        <w:spacing w:after="200"/>
        <w:jc w:val="both"/>
      </w:pPr>
      <w:r>
        <w:rPr>
          <w:rFonts w:ascii="Avenir Next LT Pro" w:hAnsi="Avenir Next LT Pro"/>
          <w:b w:val="0"/>
          <w:i w:val="0"/>
          <w:color w:val="1C4076"/>
          <w:sz w:val="22"/>
        </w:rPr>
        <w:t>The prohibition against market manipulation is supplemented by section 113 of the Danish Companies Act (prohibition against speculative transactions) in respect of members of the Board of Directors and Executive Management. Speculative transactions shall, among other things, mean purchase followed by a sale shortly thereafter with the purpose of gaining a dividend or a capital profit (use of very short-term price changes).</w:t>
      </w:r>
    </w:p>
    <w:p>
      <w:pPr>
        <w:keepNext/>
        <w:spacing w:before="260" w:after="160"/>
      </w:pPr>
      <w:r>
        <w:rPr>
          <w:rFonts w:ascii="Avenir Next LT Pro" w:hAnsi="Avenir Next LT Pro"/>
          <w:b/>
          <w:i w:val="0"/>
          <w:color w:val="1C4076"/>
          <w:sz w:val="28"/>
        </w:rPr>
        <w:t>8 Trading Windows and Closed Period</w:t>
      </w:r>
    </w:p>
    <w:p>
      <w:pPr>
        <w:spacing w:after="200"/>
        <w:jc w:val="both"/>
      </w:pPr>
      <w:r>
        <w:rPr>
          <w:rFonts w:ascii="Avenir Next LT Pro" w:hAnsi="Avenir Next LT Pro"/>
          <w:b w:val="0"/>
          <w:i w:val="0"/>
          <w:color w:val="1C4076"/>
          <w:sz w:val="22"/>
        </w:rPr>
        <w:t>Members of the Board of Directors and the members of the Executive Management (each a “Reporting Person”) as well as other persons on the Permanent Insider List or Restricted List (together with each Reporting Person, each a “Restricted Person”) may not trade in Shares outside of a Trading Window. Furthermore, members of the Board of Directors and the members of the Executive Management are subject to a closed period of 30 calendar days before the publication of the annual report and/or the half-yearly interim reports and/or interim reports for Q1 and Q3, as applicable, and until the day after publication of the relevant financial report (the “Closed Period”).</w:t>
      </w:r>
    </w:p>
    <w:p>
      <w:pPr>
        <w:spacing w:after="200"/>
        <w:jc w:val="both"/>
      </w:pPr>
      <w:r>
        <w:rPr>
          <w:rFonts w:ascii="Avenir Next LT Pro" w:hAnsi="Avenir Next LT Pro"/>
          <w:b w:val="0"/>
          <w:i w:val="0"/>
          <w:color w:val="1C4076"/>
          <w:sz w:val="22"/>
        </w:rPr>
        <w:t>Any dealing in Shares by Reporting Persons may not take place within the Closed Period, unless specific approval has been provided in accordance with applicable legislation. Any approval of transactions during a Closed Period shall be given in accordance with the Market Abuse Regulation and any regulation issued pursuant hereto.</w:t>
      </w:r>
    </w:p>
    <w:p>
      <w:pPr>
        <w:spacing w:after="200"/>
        <w:jc w:val="both"/>
      </w:pPr>
      <w:r>
        <w:rPr>
          <w:rFonts w:ascii="Avenir Next LT Pro" w:hAnsi="Avenir Next LT Pro"/>
          <w:b w:val="0"/>
          <w:i w:val="0"/>
          <w:color w:val="1C4076"/>
          <w:sz w:val="22"/>
        </w:rPr>
        <w:t>Restricted Persons may only buy, sell, subscribe or otherwise deal in Shares for their own or any third party’s account for a period of four weeks (such four weeks being the “Trading Window” as defined in Appendix A – Definitions) after publication of the Group’s annual report and/or the half-yearly interim reports and/or interim reports for Q1 and Q3, as applicable, or the announcement of results pertaining to either such reports, as applicable, on Nasdaq Copenhagen.</w:t>
      </w:r>
    </w:p>
    <w:p>
      <w:pPr>
        <w:spacing w:after="200"/>
        <w:jc w:val="both"/>
      </w:pPr>
      <w:r>
        <w:rPr>
          <w:rFonts w:ascii="Avenir Next LT Pro" w:hAnsi="Avenir Next LT Pro"/>
          <w:b w:val="0"/>
          <w:i w:val="0"/>
          <w:color w:val="1C4076"/>
          <w:sz w:val="22"/>
        </w:rPr>
        <w:t>Irrespective of a Trading Window having been opened in accordance with section 8.3, persons in possession of Inside Information, including by definition persons on an Ad-Hoc Insider List, may not deal in Shares. Consequently, the Trading Window shall close or remain closed for such persons. The Trading Window will always close for the persons included on the Permanent Insider List if an Ad-Hoc List exists.</w:t>
      </w:r>
    </w:p>
    <w:p>
      <w:pPr>
        <w:spacing w:after="200"/>
        <w:jc w:val="both"/>
      </w:pPr>
      <w:r>
        <w:rPr>
          <w:rFonts w:ascii="Avenir Next LT Pro" w:hAnsi="Avenir Next LT Pro"/>
          <w:b w:val="0"/>
          <w:i w:val="0"/>
          <w:color w:val="1C4076"/>
          <w:sz w:val="22"/>
        </w:rPr>
        <w:t>Except as set out in section 8.4, the Chair may approve transactions outside of Trading Windows in advance and in writing. Approval will only be granted under special circumstances and will, as a main rule, only be provided in situations, where the dealing is exercisable only within a specific time-limit outside of a Trading Window and in which the person wishing to deal in the Shares has no influence, for example (but not limited to) cases of (i) subscription for employee shares, (ii) exercise or sale of subscription rights, (iii) exercise of warrants, share options etc., (iv) acceptance of tender offers or (v) exercise of pre-emptive rights or obligations.</w:t>
      </w:r>
    </w:p>
    <w:p>
      <w:pPr>
        <w:spacing w:after="200"/>
        <w:jc w:val="both"/>
      </w:pPr>
      <w:r>
        <w:rPr>
          <w:rFonts w:ascii="Avenir Next LT Pro" w:hAnsi="Avenir Next LT Pro"/>
          <w:b w:val="0"/>
          <w:i w:val="0"/>
          <w:color w:val="1C4076"/>
          <w:sz w:val="22"/>
        </w:rPr>
        <w:t>Any request to the Chair pursuant to section 8.5, shall state the reasons and specific need for completion of the transaction in question. It is expressly noted, that any dealing in Shares by Reporting Persons may not take place within the Closed Period, unless specific approval has been provided in accordance with applicable legislation.</w:t>
      </w:r>
    </w:p>
    <w:p>
      <w:pPr>
        <w:spacing w:after="200"/>
        <w:jc w:val="both"/>
      </w:pPr>
      <w:r>
        <w:rPr>
          <w:rFonts w:ascii="Avenir Next LT Pro" w:hAnsi="Avenir Next LT Pro"/>
          <w:b w:val="0"/>
          <w:i w:val="0"/>
          <w:color w:val="1C4076"/>
          <w:sz w:val="22"/>
        </w:rPr>
        <w:t>The restrictions on dealing in Shares outside of a Trading Window applies to Restricted Persons for a period of six months, and for other employees for a period of three months, after the expiry of the appointment or employment, respectively.</w:t>
      </w:r>
    </w:p>
    <w:p>
      <w:pPr>
        <w:spacing w:after="200"/>
        <w:jc w:val="both"/>
      </w:pPr>
      <w:r>
        <w:rPr>
          <w:rFonts w:ascii="Avenir Next LT Pro" w:hAnsi="Avenir Next LT Pro"/>
          <w:b w:val="0"/>
          <w:i w:val="0"/>
          <w:color w:val="1C4076"/>
          <w:sz w:val="22"/>
        </w:rPr>
        <w:t>It is expressly noted that the prohibitions on insider trading and market manipulation applies at all times, irrespective of the person being appointed or employed with the Company or the Group.</w:t>
      </w:r>
    </w:p>
    <w:p>
      <w:pPr>
        <w:keepNext/>
        <w:spacing w:before="260" w:after="160"/>
      </w:pPr>
      <w:r>
        <w:rPr>
          <w:rFonts w:ascii="Avenir Next LT Pro" w:hAnsi="Avenir Next LT Pro"/>
          <w:b/>
          <w:i w:val="0"/>
          <w:color w:val="1C4076"/>
          <w:sz w:val="28"/>
        </w:rPr>
        <w:t>9 Sanctions</w:t>
      </w:r>
    </w:p>
    <w:p>
      <w:pPr>
        <w:spacing w:after="200"/>
        <w:jc w:val="both"/>
      </w:pPr>
      <w:r>
        <w:rPr>
          <w:rFonts w:ascii="Avenir Next LT Pro" w:hAnsi="Avenir Next LT Pro"/>
          <w:b w:val="0"/>
          <w:i w:val="0"/>
          <w:color w:val="1C4076"/>
          <w:sz w:val="22"/>
        </w:rPr>
        <w:t>Any violation of the prohibitions on unlawful disclosure of Inside Information, insider trading and market manipulation may - considering the circumstances - be punishable by a fine or imprisonment for up to 1 year and 6 months and for insider trading and market manipulation up to 6 years in cases of intentional violations of a particularly gross nature.</w:t>
      </w:r>
    </w:p>
    <w:p>
      <w:pPr>
        <w:spacing w:after="200"/>
        <w:jc w:val="both"/>
      </w:pPr>
      <w:r>
        <w:rPr>
          <w:rFonts w:ascii="Avenir Next LT Pro" w:hAnsi="Avenir Next LT Pro"/>
          <w:b w:val="0"/>
          <w:i w:val="0"/>
          <w:color w:val="1C4076"/>
          <w:sz w:val="22"/>
        </w:rPr>
        <w:t>In addition, any violation of the restrictions in this Part 1 may be subject to sanctions in other jurisdictions than Denmark.</w:t>
      </w:r>
    </w:p>
    <w:p>
      <w:pPr>
        <w:spacing w:after="200"/>
        <w:jc w:val="both"/>
      </w:pPr>
      <w:r>
        <w:rPr>
          <w:rFonts w:ascii="Avenir Next LT Pro" w:hAnsi="Avenir Next LT Pro"/>
          <w:b w:val="0"/>
          <w:i w:val="0"/>
          <w:color w:val="1C4076"/>
          <w:sz w:val="22"/>
        </w:rPr>
        <w:t>A violation of the provisions in this Part 1 may further have disciplinary consequences in the form of a warning and in aggravated cases dismissal without notice and the Group may report a violation to the Danish Financial Supervisory Authority and/or report the relevant person to the police.</w:t>
      </w:r>
    </w:p>
    <w:p>
      <w:pPr>
        <w:keepNext/>
        <w:spacing w:before="260" w:after="160"/>
      </w:pPr>
      <w:r>
        <w:rPr>
          <w:rFonts w:ascii="Avenir Next LT Pro" w:hAnsi="Avenir Next LT Pro"/>
          <w:b/>
          <w:i w:val="0"/>
          <w:color w:val="1C4076"/>
          <w:sz w:val="28"/>
        </w:rPr>
        <w:t>Part 2 – Internal rules governing the Company’s trading in treasury Shares</w:t>
      </w:r>
    </w:p>
    <w:p>
      <w:pPr>
        <w:keepNext/>
        <w:spacing w:before="260" w:after="160"/>
      </w:pPr>
      <w:r>
        <w:rPr>
          <w:rFonts w:ascii="Avenir Next LT Pro" w:hAnsi="Avenir Next LT Pro"/>
          <w:b/>
          <w:i w:val="0"/>
          <w:color w:val="1C4076"/>
          <w:sz w:val="28"/>
        </w:rPr>
        <w:t>1 Purpose</w:t>
      </w:r>
    </w:p>
    <w:p>
      <w:pPr>
        <w:spacing w:after="200"/>
        <w:jc w:val="both"/>
      </w:pPr>
      <w:r>
        <w:rPr>
          <w:rFonts w:ascii="Avenir Next LT Pro" w:hAnsi="Avenir Next LT Pro"/>
          <w:b w:val="0"/>
          <w:i w:val="0"/>
          <w:color w:val="1C4076"/>
          <w:sz w:val="22"/>
        </w:rPr>
        <w:t>The purpose of the rules set out in this Part 2 is to ensure that the Company’s trading in treasury Shares takes place within the framework of applicable law (including the prohibitions against insider trading and market manipulation), and that the Company fulfils its disclosure obligations in relation to purchase and sale of treasury Shares.</w:t>
      </w:r>
    </w:p>
    <w:p>
      <w:pPr>
        <w:spacing w:after="200"/>
        <w:jc w:val="both"/>
      </w:pPr>
      <w:r>
        <w:rPr>
          <w:rFonts w:ascii="Avenir Next LT Pro" w:hAnsi="Avenir Next LT Pro"/>
          <w:b w:val="0"/>
          <w:i w:val="0"/>
          <w:color w:val="1C4076"/>
          <w:sz w:val="22"/>
        </w:rPr>
        <w:t>The internal rules governing the Company’s trading in treasury Shares in this Part 2 are primarily addressed to the Company’s Board of Directors and Executive Management.</w:t>
      </w:r>
    </w:p>
    <w:p>
      <w:pPr>
        <w:keepNext/>
        <w:spacing w:before="260" w:after="160"/>
      </w:pPr>
      <w:r>
        <w:rPr>
          <w:rFonts w:ascii="Avenir Next LT Pro" w:hAnsi="Avenir Next LT Pro"/>
          <w:b/>
          <w:i w:val="0"/>
          <w:color w:val="1C4076"/>
          <w:sz w:val="28"/>
        </w:rPr>
        <w:t>2 Prohibitions against insider trading and market manipulation</w:t>
      </w:r>
    </w:p>
    <w:p>
      <w:pPr>
        <w:spacing w:after="200"/>
        <w:jc w:val="both"/>
      </w:pPr>
      <w:r>
        <w:rPr>
          <w:rFonts w:ascii="Avenir Next LT Pro" w:hAnsi="Avenir Next LT Pro"/>
          <w:b w:val="0"/>
          <w:i w:val="0"/>
          <w:color w:val="1C4076"/>
          <w:sz w:val="22"/>
        </w:rPr>
        <w:t>The Company may not trade in Shares if the Company is in possession of Inside Information, including situations where the Company has delayed disclosure of Inside Information.</w:t>
      </w:r>
    </w:p>
    <w:p>
      <w:pPr>
        <w:spacing w:after="200"/>
        <w:jc w:val="both"/>
      </w:pPr>
      <w:r>
        <w:rPr>
          <w:rFonts w:ascii="Avenir Next LT Pro" w:hAnsi="Avenir Next LT Pro"/>
          <w:b w:val="0"/>
          <w:i w:val="0"/>
          <w:color w:val="1C4076"/>
          <w:sz w:val="22"/>
        </w:rPr>
        <w:t>The Company’s Executive Management shall ensure that neither the Company nor its subsidiaries increase or decrease their total holding of Shares at any time when the Company is in possession of Inside Information, which could be of relevance or importance to the transaction in question.</w:t>
      </w:r>
    </w:p>
    <w:p>
      <w:pPr>
        <w:spacing w:after="200"/>
        <w:jc w:val="both"/>
      </w:pPr>
      <w:r>
        <w:rPr>
          <w:rFonts w:ascii="Avenir Next LT Pro" w:hAnsi="Avenir Next LT Pro"/>
          <w:b w:val="0"/>
          <w:i w:val="0"/>
          <w:color w:val="1C4076"/>
          <w:sz w:val="22"/>
        </w:rPr>
        <w:t>The Company may not trade if such trading would constitute market manipulation.</w:t>
      </w:r>
    </w:p>
    <w:p>
      <w:pPr>
        <w:spacing w:after="200"/>
        <w:jc w:val="both"/>
      </w:pPr>
      <w:r>
        <w:rPr>
          <w:rFonts w:ascii="Avenir Next LT Pro" w:hAnsi="Avenir Next LT Pro"/>
          <w:b w:val="0"/>
          <w:i w:val="0"/>
          <w:color w:val="1C4076"/>
          <w:sz w:val="22"/>
        </w:rPr>
        <w:t>The prohibitions against insider trading and market manipulation do not apply if the Company’s purchase of treasury Shares takes place in accordance with the Safe Harbour Rules.</w:t>
      </w:r>
    </w:p>
    <w:p>
      <w:pPr>
        <w:keepNext/>
        <w:spacing w:before="260" w:after="160"/>
      </w:pPr>
      <w:r>
        <w:rPr>
          <w:rFonts w:ascii="Avenir Next LT Pro" w:hAnsi="Avenir Next LT Pro"/>
          <w:b/>
          <w:i w:val="0"/>
          <w:color w:val="1C4076"/>
          <w:sz w:val="28"/>
        </w:rPr>
        <w:t>3 Closed Period</w:t>
      </w:r>
    </w:p>
    <w:p>
      <w:pPr>
        <w:spacing w:after="200"/>
        <w:jc w:val="both"/>
      </w:pPr>
      <w:r>
        <w:rPr>
          <w:rFonts w:ascii="Avenir Next LT Pro" w:hAnsi="Avenir Next LT Pro"/>
          <w:b w:val="0"/>
          <w:i w:val="0"/>
          <w:color w:val="1C4076"/>
          <w:sz w:val="22"/>
        </w:rPr>
        <w:t>As an additional protective measure, it has been decided that the Company and its subsidiaries shall never trade in the Company’s Shares within a closed period starting 30 days before the publication of the annual report or interim reports, as applicable, and until the day after publication of the relevant financial report (the “Closed Period”).</w:t>
      </w:r>
    </w:p>
    <w:p>
      <w:pPr>
        <w:spacing w:after="200"/>
        <w:jc w:val="both"/>
      </w:pPr>
      <w:r>
        <w:rPr>
          <w:rFonts w:ascii="Avenir Next LT Pro" w:hAnsi="Avenir Next LT Pro"/>
          <w:b w:val="0"/>
          <w:i w:val="0"/>
          <w:color w:val="1C4076"/>
          <w:sz w:val="22"/>
        </w:rPr>
        <w:t>Purchase and sale may only take place within the Closed Period in special cases where this may be necessary in order to avoid significant or threatening damage to the Company or in connection with a time-scheduled or lead managed share buy-back programme pursuant to the Safe Harbour Rules or in similar cases where the time of purchase or sale has been irrevocably fixed in advance.</w:t>
      </w:r>
    </w:p>
    <w:p>
      <w:pPr>
        <w:spacing w:after="200"/>
        <w:jc w:val="both"/>
      </w:pPr>
      <w:r>
        <w:rPr>
          <w:rFonts w:ascii="Avenir Next LT Pro" w:hAnsi="Avenir Next LT Pro"/>
          <w:b w:val="0"/>
          <w:i w:val="0"/>
          <w:color w:val="1C4076"/>
          <w:sz w:val="22"/>
        </w:rPr>
        <w:t>Part 3 – Internal Rules regarding notification of transactions with Shares, debt instruments or derivatives linked thereto made by Reporting Persons and their Closely Associated Persons</w:t>
      </w:r>
    </w:p>
    <w:p>
      <w:pPr>
        <w:keepNext/>
        <w:spacing w:before="260" w:after="160"/>
      </w:pPr>
      <w:r>
        <w:rPr>
          <w:rFonts w:ascii="Avenir Next LT Pro" w:hAnsi="Avenir Next LT Pro"/>
          <w:b/>
          <w:i w:val="0"/>
          <w:color w:val="1C4076"/>
          <w:sz w:val="28"/>
        </w:rPr>
        <w:t>1 Purpose</w:t>
      </w:r>
    </w:p>
    <w:p>
      <w:pPr>
        <w:spacing w:after="200"/>
        <w:jc w:val="both"/>
      </w:pPr>
      <w:r>
        <w:rPr>
          <w:rFonts w:ascii="Avenir Next LT Pro" w:hAnsi="Avenir Next LT Pro"/>
          <w:b w:val="0"/>
          <w:i w:val="0"/>
          <w:color w:val="1C4076"/>
          <w:sz w:val="22"/>
        </w:rPr>
        <w:t>The purpose of the rules in this Part 3 is to describe the transaction reporting obligations applicable to members of the Board of Directors and the Executive Management (each a “Reporting Person”) and their Closely Associated Persons.</w:t>
      </w:r>
    </w:p>
    <w:p>
      <w:pPr>
        <w:spacing w:after="200"/>
        <w:jc w:val="both"/>
      </w:pPr>
      <w:r>
        <w:rPr>
          <w:rFonts w:ascii="Avenir Next LT Pro" w:hAnsi="Avenir Next LT Pro"/>
          <w:b w:val="0"/>
          <w:i w:val="0"/>
          <w:color w:val="1C4076"/>
          <w:sz w:val="22"/>
        </w:rPr>
        <w:t>This Part 3 of the Internal Rules constitutes the Company’s notification to the Reporting Persons of their reporting obligations in accordance with the Market Abuse Regulation Article 19(5).</w:t>
      </w:r>
    </w:p>
    <w:p>
      <w:pPr>
        <w:keepNext/>
        <w:spacing w:before="260" w:after="160"/>
      </w:pPr>
      <w:r>
        <w:rPr>
          <w:rFonts w:ascii="Avenir Next LT Pro" w:hAnsi="Avenir Next LT Pro"/>
          <w:b/>
          <w:i w:val="0"/>
          <w:color w:val="1C4076"/>
          <w:sz w:val="28"/>
        </w:rPr>
        <w:t>2 Closely Associated Persons</w:t>
      </w:r>
    </w:p>
    <w:p>
      <w:pPr>
        <w:spacing w:after="200"/>
        <w:jc w:val="both"/>
      </w:pPr>
      <w:r>
        <w:rPr>
          <w:rFonts w:ascii="Avenir Next LT Pro" w:hAnsi="Avenir Next LT Pro"/>
          <w:b w:val="0"/>
          <w:i w:val="0"/>
          <w:color w:val="1C4076"/>
          <w:sz w:val="22"/>
        </w:rPr>
        <w:t>Persons closely associated with a Reporting Person are by law subject to the notification obligation as set out in section 3 below.</w:t>
      </w:r>
    </w:p>
    <w:p>
      <w:pPr>
        <w:spacing w:after="200"/>
        <w:jc w:val="both"/>
      </w:pPr>
      <w:r>
        <w:rPr>
          <w:rFonts w:ascii="Avenir Next LT Pro" w:hAnsi="Avenir Next LT Pro"/>
          <w:b w:val="0"/>
          <w:i w:val="0"/>
          <w:color w:val="1C4076"/>
          <w:sz w:val="22"/>
        </w:rPr>
        <w:t>Closely Associated Persons are the following natural or legal persons in respect of the Reporting Person:</w:t>
      </w:r>
    </w:p>
    <w:p>
      <w:pPr>
        <w:pStyle w:val="ListBullet"/>
        <w:spacing w:after="80"/>
      </w:pPr>
      <w:r>
        <w:rPr>
          <w:rFonts w:ascii="Avenir Next LT Pro" w:hAnsi="Avenir Next LT Pro"/>
          <w:b w:val="0"/>
          <w:i w:val="0"/>
          <w:color w:val="1C4076"/>
          <w:sz w:val="22"/>
        </w:rPr>
        <w:t>(a) A spouse or a partner considered to be equivalent to a spouse (including a cohabitant);</w:t>
      </w:r>
    </w:p>
    <w:p>
      <w:pPr>
        <w:pStyle w:val="ListBullet"/>
        <w:spacing w:after="80"/>
      </w:pPr>
      <w:r>
        <w:rPr>
          <w:rFonts w:ascii="Avenir Next LT Pro" w:hAnsi="Avenir Next LT Pro"/>
          <w:b w:val="0"/>
          <w:i w:val="0"/>
          <w:color w:val="1C4076"/>
          <w:sz w:val="22"/>
        </w:rPr>
        <w:t>(b) a dependent¹ child;</w:t>
      </w:r>
    </w:p>
    <w:p>
      <w:pPr>
        <w:spacing w:after="80"/>
      </w:pPr>
      <w:r>
        <w:rPr>
          <w:rFonts w:ascii="Avenir Next LT Pro" w:hAnsi="Avenir Next LT Pro"/>
          <w:b w:val="0"/>
          <w:i w:val="0"/>
          <w:color w:val="1C4076"/>
          <w:sz w:val="15"/>
        </w:rPr>
        <w:t>¹ Understood as a child which the Reporting Person has a duty to support under national law</w:t>
      </w:r>
    </w:p>
    <w:p>
      <w:pPr>
        <w:pStyle w:val="ListBullet"/>
        <w:spacing w:after="80"/>
      </w:pPr>
      <w:r>
        <w:rPr>
          <w:rFonts w:ascii="Avenir Next LT Pro" w:hAnsi="Avenir Next LT Pro"/>
          <w:b w:val="0"/>
          <w:i w:val="0"/>
          <w:color w:val="1C4076"/>
          <w:sz w:val="22"/>
        </w:rPr>
        <w:t>(c) other relatives who, for a period of no less than one year at the time of the completion of the transaction, have belonged to the same household as the Reporting Person;</w:t>
      </w:r>
    </w:p>
    <w:p>
      <w:pPr>
        <w:pStyle w:val="ListBullet"/>
        <w:spacing w:after="80"/>
      </w:pPr>
      <w:r>
        <w:rPr>
          <w:rFonts w:ascii="Avenir Next LT Pro" w:hAnsi="Avenir Next LT Pro"/>
          <w:b w:val="0"/>
          <w:i w:val="0"/>
          <w:color w:val="1C4076"/>
          <w:sz w:val="22"/>
        </w:rPr>
        <w:t>(d) legal persons, trust or partnership;</w:t>
      </w:r>
    </w:p>
    <w:p>
      <w:pPr>
        <w:pStyle w:val="ListBullet"/>
        <w:spacing w:after="80"/>
      </w:pPr>
      <w:r>
        <w:rPr>
          <w:rFonts w:ascii="Avenir Next LT Pro" w:hAnsi="Avenir Next LT Pro"/>
          <w:b w:val="0"/>
          <w:i w:val="0"/>
          <w:color w:val="1C4076"/>
          <w:sz w:val="22"/>
        </w:rPr>
        <w:t>(i) in which a Reporting Person or a person covered by the subsections (a) - (c) above holds managerial responsibility that entails such person to take part in or influence decisions to carry out transactions in Shares,</w:t>
      </w:r>
    </w:p>
    <w:p>
      <w:pPr>
        <w:pStyle w:val="ListBullet"/>
        <w:spacing w:after="80"/>
      </w:pPr>
      <w:r>
        <w:rPr>
          <w:rFonts w:ascii="Avenir Next LT Pro" w:hAnsi="Avenir Next LT Pro"/>
          <w:b w:val="0"/>
          <w:i w:val="0"/>
          <w:color w:val="1C4076"/>
          <w:sz w:val="22"/>
        </w:rPr>
        <w:t>(ii) which is directly or indirectly controlled by a Reporting Person or a person covered by subsections (a) - (c) above,</w:t>
      </w:r>
    </w:p>
    <w:p>
      <w:pPr>
        <w:pStyle w:val="ListBullet"/>
        <w:spacing w:after="80"/>
      </w:pPr>
      <w:r>
        <w:rPr>
          <w:rFonts w:ascii="Avenir Next LT Pro" w:hAnsi="Avenir Next LT Pro"/>
          <w:b w:val="0"/>
          <w:i w:val="0"/>
          <w:color w:val="1C4076"/>
          <w:sz w:val="22"/>
        </w:rPr>
        <w:t>(iii) which is set up for the benefit of a Reporting Person or a person covered by subsections (a) - (c) above, or</w:t>
      </w:r>
    </w:p>
    <w:p>
      <w:pPr>
        <w:pStyle w:val="ListBullet"/>
        <w:spacing w:after="80"/>
      </w:pPr>
      <w:r>
        <w:rPr>
          <w:rFonts w:ascii="Avenir Next LT Pro" w:hAnsi="Avenir Next LT Pro"/>
          <w:b w:val="0"/>
          <w:i w:val="0"/>
          <w:color w:val="1C4076"/>
          <w:sz w:val="22"/>
        </w:rPr>
        <w:t>(iv) which has economic interests that have significant similarities with the economic interests of a Reporting Person or a person covered by subsections (a) - (c) above.</w:t>
      </w:r>
    </w:p>
    <w:p>
      <w:pPr>
        <w:spacing w:after="200"/>
        <w:jc w:val="both"/>
      </w:pPr>
      <w:r>
        <w:rPr>
          <w:rFonts w:ascii="Avenir Next LT Pro" w:hAnsi="Avenir Next LT Pro"/>
          <w:b w:val="0"/>
          <w:i w:val="0"/>
          <w:color w:val="1C4076"/>
          <w:sz w:val="22"/>
        </w:rPr>
        <w:t>The Company is required to keep a list of all Reporting Persons and their Closely Associated Persons. Upon appointment, each Reporting Person shall forward to the Company a list of the Reporting Person’s Closely Associated Persons. The Reporting Person shall on an ongoing basis notify the Company of any amendments or updates to his/her list.</w:t>
      </w:r>
    </w:p>
    <w:p>
      <w:pPr>
        <w:spacing w:after="200"/>
        <w:jc w:val="both"/>
      </w:pPr>
      <w:r>
        <w:rPr>
          <w:rFonts w:ascii="Avenir Next LT Pro" w:hAnsi="Avenir Next LT Pro"/>
          <w:b w:val="0"/>
          <w:i w:val="0"/>
          <w:color w:val="1C4076"/>
          <w:sz w:val="22"/>
        </w:rPr>
        <w:t>Reporting Persons are obliged to ensure that their Closely Associated Persons are informed in writing about their transaction notification obligation and to keep a copy of such notification. The Company will assist each Reporting Person with such notifications.</w:t>
      </w:r>
    </w:p>
    <w:p>
      <w:pPr>
        <w:keepNext/>
        <w:spacing w:before="260" w:after="160"/>
      </w:pPr>
      <w:r>
        <w:rPr>
          <w:rFonts w:ascii="Avenir Next LT Pro" w:hAnsi="Avenir Next LT Pro"/>
          <w:b/>
          <w:i w:val="0"/>
          <w:color w:val="1C4076"/>
          <w:sz w:val="28"/>
        </w:rPr>
        <w:t>3 Transaction notification obligation by Reporting Persons and their Closely Associated Persons</w:t>
      </w:r>
    </w:p>
    <w:p>
      <w:pPr>
        <w:spacing w:after="200"/>
        <w:jc w:val="both"/>
      </w:pPr>
      <w:r>
        <w:rPr>
          <w:rFonts w:ascii="Avenir Next LT Pro" w:hAnsi="Avenir Next LT Pro"/>
          <w:b w:val="0"/>
          <w:i w:val="0"/>
          <w:color w:val="1C4076"/>
          <w:sz w:val="22"/>
        </w:rPr>
        <w:t>Reporting Persons and their Closely Associated Persons must electronically notify the Company and the Danish Financial Supervisory Authority of transactions with Shares, debt instruments or derivatives linked thereto (such as share options, subscription rights, futures etc.) conducted for their own account promptly and no later than three (3) business days after the transaction. The Reporting Person and their Closely Associated Persons shall report on each individual transaction which the person in question has carried out. The Company is obliged to disclose the transaction details to the market in a company announcement.</w:t>
      </w:r>
    </w:p>
    <w:p>
      <w:pPr>
        <w:spacing w:after="200"/>
        <w:jc w:val="both"/>
      </w:pPr>
      <w:r>
        <w:rPr>
          <w:rFonts w:ascii="Avenir Next LT Pro" w:hAnsi="Avenir Next LT Pro"/>
          <w:b w:val="0"/>
          <w:i w:val="0"/>
          <w:color w:val="1C4076"/>
          <w:sz w:val="22"/>
        </w:rPr>
        <w:t>The Company will arrange for disclosure to the market and notification to the Danish Financial Supervisory Authority on behalf of the Reporting Person and their Closely Associated Persons. The notification to the Company must contain the information set out in the notification form as attached hereto as Schedule 3.2 – Notification form for Reporting Persons (PDMR) and their Closely Associated Persons and shall be forwarded to the Company’s Chief Legal Officer (with power of delegation) promptly and no later than two (2) business days after a transaction.</w:t>
      </w:r>
    </w:p>
    <w:p>
      <w:pPr>
        <w:spacing w:after="200"/>
        <w:jc w:val="both"/>
      </w:pPr>
      <w:r>
        <w:rPr>
          <w:rFonts w:ascii="Avenir Next LT Pro" w:hAnsi="Avenir Next LT Pro"/>
          <w:b w:val="0"/>
          <w:i w:val="0"/>
          <w:color w:val="1C4076"/>
          <w:sz w:val="22"/>
        </w:rPr>
        <w:t>By notifying the Company of a transaction which is subject to notification to the Company and the Danish Financial Supervisory Authority, the Reporting Person or the Closely Associated Person, as applicable, authorises the Company to file the transaction with the Danish Financial Supervisory Authority on their behalf. Upon appointment, each Reporting Person shall complete and forward to the Company’s Chief Legal Officer, the form of power of attorney attached hereto as Schedule 3.3 - Power of Attorney for the notification of the Danish Financial Supervisory Authority and ensure that their Closely Associated Persons complete and forward the power of attorney the first time the Closely Associated Person gives a notification to the Company of a transaction.</w:t>
      </w:r>
    </w:p>
    <w:p>
      <w:pPr>
        <w:spacing w:after="200"/>
        <w:jc w:val="both"/>
      </w:pPr>
      <w:r>
        <w:rPr>
          <w:rFonts w:ascii="Avenir Next LT Pro" w:hAnsi="Avenir Next LT Pro"/>
          <w:b w:val="0"/>
          <w:i w:val="0"/>
          <w:color w:val="1C4076"/>
          <w:sz w:val="22"/>
        </w:rPr>
        <w:t>The notification requirement applies in relation to any transactions, including purchase/sale, share loans and transfers made or received in the form of gifts and inheritance (transfer of title) of Shares or debt instruments of the Company or derivatives linked thereto. A non-exhaustive list of transactions subject to the notification obligation is set out in Schedule 3.4 – List of transactions subject to the notification obligation.</w:t>
      </w:r>
    </w:p>
    <w:p>
      <w:pPr>
        <w:spacing w:after="200"/>
        <w:jc w:val="both"/>
      </w:pPr>
      <w:r>
        <w:rPr>
          <w:rFonts w:ascii="Avenir Next LT Pro" w:hAnsi="Avenir Next LT Pro"/>
          <w:b w:val="0"/>
          <w:i w:val="0"/>
          <w:color w:val="1C4076"/>
          <w:sz w:val="22"/>
        </w:rPr>
        <w:t>Any disclosure of transactions and related filing to the Danish Financial Supervisory Authority by the Company on behalf of a Reporting Person or his/her Closely Associated Person is made at the sole responsibility of the Reporting Person or Closely Associated Person, and the Reporting Person or Closely Associated Person, as applicable, warrants that all information contained in the notification to the Company about the transactions is correct and accurate.</w:t>
      </w:r>
    </w:p>
    <w:p>
      <w:pPr>
        <w:keepNext/>
        <w:spacing w:before="260" w:after="160"/>
      </w:pPr>
      <w:r>
        <w:rPr>
          <w:rFonts w:ascii="Avenir Next LT Pro" w:hAnsi="Avenir Next LT Pro"/>
          <w:b/>
          <w:i w:val="0"/>
          <w:color w:val="1C4076"/>
          <w:sz w:val="28"/>
        </w:rPr>
        <w:t>4 Reporting threshold</w:t>
      </w:r>
    </w:p>
    <w:p>
      <w:pPr>
        <w:spacing w:after="200"/>
        <w:jc w:val="both"/>
      </w:pPr>
      <w:r>
        <w:rPr>
          <w:rFonts w:ascii="Avenir Next LT Pro" w:hAnsi="Avenir Next LT Pro"/>
          <w:b w:val="0"/>
          <w:i w:val="0"/>
          <w:color w:val="1C4076"/>
          <w:sz w:val="22"/>
        </w:rPr>
        <w:t>The obligation of a Reporting Person and his/her Closely Associated Persons to give notification to the Company and the Danish Financial Supervisory Authority and the Company’s disclosure obligation applies only if the market value of transactions carried out over the course of a calendar year by the Reporting Person and his/her Closely Associated Person(s) on an individual level amount to at least EUR 50,000. If the threshold of EUR 50,000 is exceeded within a calendar year, the obligation for the Reporting Person and his/her Closely Associated Persons to give notification and the Company’s disclosure obligation shall only apply for the transaction whereby the threshold is exceeded and to all subsequent transactions in that calendar year. This threshold is reset every 1 January.</w:t>
      </w:r>
    </w:p>
    <w:p>
      <w:pPr>
        <w:spacing w:after="200"/>
        <w:jc w:val="both"/>
      </w:pPr>
      <w:r>
        <w:rPr>
          <w:rFonts w:ascii="Avenir Next LT Pro" w:hAnsi="Avenir Next LT Pro"/>
          <w:b w:val="0"/>
          <w:i w:val="0"/>
          <w:color w:val="1C4076"/>
          <w:sz w:val="22"/>
        </w:rPr>
        <w:t>Despite the abovementioned statutory threshold for notification, all transactions made by a Reporting Person and his/her Closely Associated Persons must be notified to the Company in accordance with section 3.</w:t>
      </w:r>
    </w:p>
    <w:p>
      <w:pPr>
        <w:keepNext/>
        <w:spacing w:before="260" w:after="160"/>
      </w:pPr>
      <w:r>
        <w:rPr>
          <w:rFonts w:ascii="Avenir Next LT Pro" w:hAnsi="Avenir Next LT Pro"/>
          <w:b/>
          <w:i w:val="0"/>
          <w:color w:val="1C4076"/>
          <w:sz w:val="28"/>
        </w:rPr>
        <w:t>5 Direct reporting</w:t>
      </w:r>
    </w:p>
    <w:p>
      <w:pPr>
        <w:spacing w:after="200"/>
        <w:jc w:val="both"/>
      </w:pPr>
      <w:r>
        <w:rPr>
          <w:rFonts w:ascii="Avenir Next LT Pro" w:hAnsi="Avenir Next LT Pro"/>
          <w:b w:val="0"/>
          <w:i w:val="0"/>
          <w:color w:val="1C4076"/>
          <w:sz w:val="22"/>
        </w:rPr>
        <w:t>Irrespective of the requirements set out above, Reporting Persons and Closely Associated Persons may choose to carry out filings with the Company and the Danish Financial Supervisory Authority independently of the Company. In such case, the Reporting Person or Closely Associated Person must inform the Company to this effect.</w:t>
      </w:r>
    </w:p>
    <w:p>
      <w:pPr>
        <w:spacing w:after="200"/>
        <w:jc w:val="both"/>
      </w:pPr>
      <w:r>
        <w:rPr>
          <w:rFonts w:ascii="Avenir Next LT Pro" w:hAnsi="Avenir Next LT Pro"/>
          <w:b w:val="0"/>
          <w:i w:val="0"/>
          <w:color w:val="1C4076"/>
          <w:sz w:val="22"/>
        </w:rPr>
        <w:t>The Reporting Person and his/her Closely Associated Persons shall still notify the Company promptly and no later than three (3) business days after the transaction using the notification template in Schedule 3.3 - Power of Attorney for the notification of the Danish Financial Supervisory Authority as the Company is still obliged to disclose the transaction details in a company announcement.</w:t>
      </w:r>
    </w:p>
    <w:p>
      <w:pPr>
        <w:keepNext/>
        <w:spacing w:before="260" w:after="160"/>
      </w:pPr>
      <w:r>
        <w:rPr>
          <w:rFonts w:ascii="Avenir Next LT Pro" w:hAnsi="Avenir Next LT Pro"/>
          <w:b/>
          <w:i w:val="0"/>
          <w:color w:val="1C4076"/>
          <w:sz w:val="28"/>
        </w:rPr>
        <w:t>6 Other reporting obligations for Reporting Persons</w:t>
      </w:r>
    </w:p>
    <w:p>
      <w:pPr>
        <w:spacing w:after="200"/>
        <w:jc w:val="both"/>
      </w:pPr>
      <w:r>
        <w:rPr>
          <w:rFonts w:ascii="Avenir Next LT Pro" w:hAnsi="Avenir Next LT Pro"/>
          <w:b w:val="0"/>
          <w:i w:val="0"/>
          <w:color w:val="1C4076"/>
          <w:sz w:val="22"/>
        </w:rPr>
        <w:t>In addition to the notification requirements as described above, anyone who holds Shares in the Company and other Shares linked thereto has a special notification obligation pursuant to sections 38 and 39 of the Capital Markets Act, if the person in question directly or indirectly reaches, exceeds or falls below thresholds of 5%, 10%, 15%, 20%, 25%, 1/3, 50%, 2/3 or 90% of the share capital or the voting rights of the Company.</w:t>
      </w:r>
    </w:p>
    <w:p>
      <w:pPr>
        <w:spacing w:after="200"/>
        <w:jc w:val="both"/>
      </w:pPr>
      <w:r>
        <w:rPr>
          <w:rFonts w:ascii="Avenir Next LT Pro" w:hAnsi="Avenir Next LT Pro"/>
          <w:b w:val="0"/>
          <w:i w:val="0"/>
          <w:color w:val="1C4076"/>
          <w:sz w:val="22"/>
        </w:rPr>
        <w:t>Each member of the Board of Directors and of the Executive Management shall upon election or appointment inform the Company’s Chief Legal Officer (with power of delegation) of the size of that person’s direct and indirect holding(s) of Shares, debt instruments or derivatives linked thereto. Any subsequent transactions in respect of Shares, debt instruments or derivatives linked thereto shall be reported in accordance with this Part 3.</w:t>
      </w:r>
    </w:p>
    <w:p>
      <w:pPr>
        <w:spacing w:after="200"/>
        <w:jc w:val="both"/>
      </w:pPr>
      <w:r>
        <w:rPr>
          <w:rFonts w:ascii="Avenir Next LT Pro" w:hAnsi="Avenir Next LT Pro"/>
          <w:b w:val="0"/>
          <w:i w:val="0"/>
          <w:color w:val="1C4076"/>
          <w:sz w:val="22"/>
        </w:rPr>
        <w:t>Reporting Persons shall arrange that the person’s holding(s) of Shares, debt instruments or derivatives linked thereto is registered in the relevant securities register in such a manner that the legal name of the holder and the name of the relevant person - to the extent possible - appears.</w:t>
      </w:r>
    </w:p>
    <w:p>
      <w:pPr>
        <w:keepNext/>
        <w:spacing w:before="260" w:after="160"/>
      </w:pPr>
      <w:r>
        <w:rPr>
          <w:rFonts w:ascii="Avenir Next LT Pro" w:hAnsi="Avenir Next LT Pro"/>
          <w:b/>
          <w:i w:val="0"/>
          <w:color w:val="1C4076"/>
          <w:sz w:val="28"/>
        </w:rPr>
        <w:t>7 Sanctions</w:t>
      </w:r>
    </w:p>
    <w:p>
      <w:pPr>
        <w:spacing w:after="200"/>
        <w:jc w:val="both"/>
      </w:pPr>
      <w:r>
        <w:rPr>
          <w:rFonts w:ascii="Avenir Next LT Pro" w:hAnsi="Avenir Next LT Pro"/>
          <w:b w:val="0"/>
          <w:i w:val="0"/>
          <w:color w:val="1C4076"/>
          <w:sz w:val="22"/>
        </w:rPr>
        <w:t>Any violation of the rules on notification and disclosure of relevant information regarding transactions with Shares, debt instruments or derivatives linked thereto made by Reporting Persons or Related Persons is punishable by fine in Denmark and may be subject to other sanctions in other countries.</w:t>
      </w:r>
    </w:p>
    <w:p>
      <w:pPr>
        <w:spacing w:after="200"/>
        <w:jc w:val="both"/>
      </w:pPr>
      <w:r>
        <w:rPr>
          <w:rFonts w:ascii="Avenir Next LT Pro" w:hAnsi="Avenir Next LT Pro"/>
          <w:b w:val="0"/>
          <w:i w:val="0"/>
          <w:color w:val="1C4076"/>
          <w:sz w:val="22"/>
        </w:rPr>
        <w:t>Approved by the Board of Directors on 19 May 2026.</w:t>
      </w:r>
    </w:p>
    <w:p>
      <w:pPr>
        <w:keepNext/>
        <w:pageBreakBefore/>
        <w:spacing w:before="260" w:after="160"/>
      </w:pPr>
      <w:r>
        <w:rPr>
          <w:rFonts w:ascii="Avenir Next LT Pro" w:hAnsi="Avenir Next LT Pro"/>
          <w:b/>
          <w:i w:val="0"/>
          <w:color w:val="1C4076"/>
          <w:sz w:val="28"/>
        </w:rPr>
        <w:t>Schedule 3.2 – Notification form for Reporting Persons (PDMR) and their Closely Associated Persons</w:t>
      </w:r>
    </w:p>
    <w:tbl>
      <w:tblPr>
        <w:tblStyle w:val="TableGrid"/>
        <w:tblW w:type="auto" w:w="0"/>
        <w:jc w:val="center"/>
        <w:tblLook w:firstColumn="1" w:firstRow="1" w:lastColumn="0" w:lastRow="0" w:noHBand="0" w:noVBand="1" w:val="04A0"/>
      </w:tblPr>
      <w:tblGrid>
        <w:gridCol w:w="3402"/>
        <w:gridCol w:w="3402"/>
        <w:gridCol w:w="3402"/>
      </w:tblGrid>
      <w:tr>
        <w:tc>
          <w:tcPr>
            <w:tcW w:type="dxa" w:w="3402"/>
          </w:tcPr>
          <w:p>
            <w:r/>
            <w:r>
              <w:rPr>
                <w:rFonts w:ascii="Avenir Next LT Pro" w:hAnsi="Avenir Next LT Pro"/>
                <w:b w:val="0"/>
                <w:i w:val="0"/>
                <w:color w:val="1C4076"/>
                <w:sz w:val="17"/>
              </w:rPr>
              <w:t>1</w:t>
            </w:r>
          </w:p>
        </w:tc>
        <w:tc>
          <w:tcPr>
            <w:tcW w:type="dxa" w:w="3402"/>
          </w:tcPr>
          <w:p>
            <w:r/>
            <w:r>
              <w:rPr>
                <w:rFonts w:ascii="Avenir Next LT Pro" w:hAnsi="Avenir Next LT Pro"/>
                <w:b w:val="0"/>
                <w:i w:val="0"/>
                <w:color w:val="1C4076"/>
                <w:sz w:val="17"/>
              </w:rPr>
              <w:t>Details of the person discharging managerial responsibilities / closely associated person</w:t>
            </w:r>
          </w:p>
        </w:tc>
        <w:tc>
          <w:tcPr>
            <w:tcW w:type="dxa" w:w="3402"/>
          </w:tcPr>
          <w:p>
            <w:r/>
            <w:r>
              <w:rPr>
                <w:rFonts w:ascii="Avenir Next LT Pro" w:hAnsi="Avenir Next LT Pro"/>
                <w:b w:val="0"/>
                <w:i w:val="0"/>
                <w:color w:val="1C4076"/>
                <w:sz w:val="17"/>
              </w:rPr>
              <w:t>Details of the person discharging managerial responsibilities / closely associated person</w:t>
            </w:r>
          </w:p>
        </w:tc>
      </w:tr>
      <w:tr>
        <w:tc>
          <w:tcPr>
            <w:tcW w:type="dxa" w:w="3402"/>
          </w:tcPr>
          <w:p>
            <w:r/>
            <w:r>
              <w:rPr>
                <w:rFonts w:ascii="Avenir Next LT Pro" w:hAnsi="Avenir Next LT Pro"/>
                <w:b w:val="0"/>
                <w:i w:val="0"/>
                <w:color w:val="1C4076"/>
                <w:sz w:val="17"/>
              </w:rPr>
              <w:t>a)</w:t>
            </w:r>
          </w:p>
        </w:tc>
        <w:tc>
          <w:tcPr>
            <w:tcW w:type="dxa" w:w="3402"/>
          </w:tcPr>
          <w:p>
            <w:r/>
            <w:r>
              <w:rPr>
                <w:rFonts w:ascii="Avenir Next LT Pro" w:hAnsi="Avenir Next LT Pro"/>
                <w:b w:val="0"/>
                <w:i w:val="0"/>
                <w:color w:val="1C4076"/>
                <w:sz w:val="17"/>
              </w:rPr>
              <w:t>Name</w:t>
            </w:r>
          </w:p>
        </w:tc>
        <w:tc>
          <w:tcPr>
            <w:tcW w:type="dxa" w:w="3402"/>
          </w:tcPr>
          <w:p>
            <w:r/>
            <w:r>
              <w:rPr>
                <w:rFonts w:ascii="Avenir Next LT Pro" w:hAnsi="Avenir Next LT Pro"/>
                <w:b w:val="0"/>
                <w:i w:val="0"/>
                <w:color w:val="1C4076"/>
                <w:sz w:val="17"/>
              </w:rPr>
              <w:t>[For natural persons: the first name and the last name(s)]</w:t>
              <w:br/>
              <w:t>[For legal persons: full name including legal form as provided for in local registers]</w:t>
            </w:r>
          </w:p>
        </w:tc>
      </w:tr>
      <w:tr>
        <w:tc>
          <w:tcPr>
            <w:tcW w:type="dxa" w:w="3402"/>
          </w:tcPr>
          <w:p>
            <w:r/>
            <w:r>
              <w:rPr>
                <w:rFonts w:ascii="Avenir Next LT Pro" w:hAnsi="Avenir Next LT Pro"/>
                <w:b w:val="0"/>
                <w:i w:val="0"/>
                <w:color w:val="1C4076"/>
                <w:sz w:val="17"/>
              </w:rPr>
              <w:t>2</w:t>
            </w:r>
          </w:p>
        </w:tc>
        <w:tc>
          <w:tcPr>
            <w:tcW w:type="dxa" w:w="3402"/>
          </w:tcPr>
          <w:p>
            <w:r/>
            <w:r>
              <w:rPr>
                <w:rFonts w:ascii="Avenir Next LT Pro" w:hAnsi="Avenir Next LT Pro"/>
                <w:b w:val="0"/>
                <w:i w:val="0"/>
                <w:color w:val="1C4076"/>
                <w:sz w:val="17"/>
              </w:rPr>
              <w:t>Reason for the notification</w:t>
            </w:r>
          </w:p>
        </w:tc>
        <w:tc>
          <w:tcPr>
            <w:tcW w:type="dxa" w:w="3402"/>
          </w:tcPr>
          <w:p>
            <w:r/>
            <w:r>
              <w:rPr>
                <w:rFonts w:ascii="Avenir Next LT Pro" w:hAnsi="Avenir Next LT Pro"/>
                <w:b w:val="0"/>
                <w:i w:val="0"/>
                <w:color w:val="1C4076"/>
                <w:sz w:val="17"/>
              </w:rPr>
              <w:t>Reason for the notification</w:t>
            </w:r>
          </w:p>
        </w:tc>
      </w:tr>
      <w:tr>
        <w:tc>
          <w:tcPr>
            <w:tcW w:type="dxa" w:w="3402"/>
          </w:tcPr>
          <w:p>
            <w:r/>
            <w:r>
              <w:rPr>
                <w:rFonts w:ascii="Avenir Next LT Pro" w:hAnsi="Avenir Next LT Pro"/>
                <w:b w:val="0"/>
                <w:i w:val="0"/>
                <w:color w:val="1C4076"/>
                <w:sz w:val="17"/>
              </w:rPr>
              <w:t>a)</w:t>
            </w:r>
          </w:p>
        </w:tc>
        <w:tc>
          <w:tcPr>
            <w:tcW w:type="dxa" w:w="3402"/>
          </w:tcPr>
          <w:p>
            <w:r/>
            <w:r>
              <w:rPr>
                <w:rFonts w:ascii="Avenir Next LT Pro" w:hAnsi="Avenir Next LT Pro"/>
                <w:b w:val="0"/>
                <w:i w:val="0"/>
                <w:color w:val="1C4076"/>
                <w:sz w:val="17"/>
              </w:rPr>
              <w:t>Position/status</w:t>
            </w:r>
          </w:p>
        </w:tc>
        <w:tc>
          <w:tcPr>
            <w:tcW w:type="dxa" w:w="3402"/>
          </w:tcPr>
          <w:p>
            <w:r/>
            <w:r>
              <w:rPr>
                <w:rFonts w:ascii="Avenir Next LT Pro" w:hAnsi="Avenir Next LT Pro"/>
                <w:b w:val="0"/>
                <w:i w:val="0"/>
                <w:color w:val="1C4076"/>
                <w:sz w:val="17"/>
              </w:rPr>
              <w:t>[For the Reporting Person: the position occupied within BioMar Group A/S, e.g. CEO, CFO]</w:t>
              <w:br/>
              <w:t>[For the Closely Associated Person: An indication that the notification concerns a Closely Associated Persons with a Reporting Person and name and position of the relevant Reporting Person]</w:t>
            </w:r>
          </w:p>
        </w:tc>
      </w:tr>
      <w:tr>
        <w:tc>
          <w:tcPr>
            <w:tcW w:type="dxa" w:w="3402"/>
          </w:tcPr>
          <w:p>
            <w:r/>
            <w:r>
              <w:rPr>
                <w:rFonts w:ascii="Avenir Next LT Pro" w:hAnsi="Avenir Next LT Pro"/>
                <w:b w:val="0"/>
                <w:i w:val="0"/>
                <w:color w:val="1C4076"/>
                <w:sz w:val="17"/>
              </w:rPr>
              <w:t>b)</w:t>
            </w:r>
          </w:p>
        </w:tc>
        <w:tc>
          <w:tcPr>
            <w:tcW w:type="dxa" w:w="3402"/>
          </w:tcPr>
          <w:p>
            <w:r/>
            <w:r>
              <w:rPr>
                <w:rFonts w:ascii="Avenir Next LT Pro" w:hAnsi="Avenir Next LT Pro"/>
                <w:b w:val="0"/>
                <w:i w:val="0"/>
                <w:color w:val="1C4076"/>
                <w:sz w:val="17"/>
              </w:rPr>
              <w:t>Initial notification/Amendment</w:t>
            </w:r>
          </w:p>
        </w:tc>
        <w:tc>
          <w:tcPr>
            <w:tcW w:type="dxa" w:w="3402"/>
          </w:tcPr>
          <w:p>
            <w:r/>
            <w:r>
              <w:rPr>
                <w:rFonts w:ascii="Avenir Next LT Pro" w:hAnsi="Avenir Next LT Pro"/>
                <w:b w:val="0"/>
                <w:i w:val="0"/>
                <w:color w:val="1C4076"/>
                <w:sz w:val="17"/>
              </w:rPr>
              <w:t>[Indication that this is an initial notification or an amendment to prior notifications. In case of amendment, explain the error that this notification is amending]</w:t>
            </w:r>
          </w:p>
        </w:tc>
      </w:tr>
      <w:tr>
        <w:tc>
          <w:tcPr>
            <w:tcW w:type="dxa" w:w="3402"/>
          </w:tcPr>
          <w:p>
            <w:r/>
            <w:r>
              <w:rPr>
                <w:rFonts w:ascii="Avenir Next LT Pro" w:hAnsi="Avenir Next LT Pro"/>
                <w:b w:val="0"/>
                <w:i w:val="0"/>
                <w:color w:val="1C4076"/>
                <w:sz w:val="17"/>
              </w:rPr>
              <w:t>3</w:t>
            </w:r>
          </w:p>
        </w:tc>
        <w:tc>
          <w:tcPr>
            <w:tcW w:type="dxa" w:w="3402"/>
          </w:tcPr>
          <w:p>
            <w:r/>
            <w:r>
              <w:rPr>
                <w:rFonts w:ascii="Avenir Next LT Pro" w:hAnsi="Avenir Next LT Pro"/>
                <w:b w:val="0"/>
                <w:i w:val="0"/>
                <w:color w:val="1C4076"/>
                <w:sz w:val="17"/>
              </w:rPr>
              <w:t>Details of the issuer</w:t>
            </w:r>
          </w:p>
        </w:tc>
        <w:tc>
          <w:tcPr>
            <w:tcW w:type="dxa" w:w="3402"/>
          </w:tcPr>
          <w:p>
            <w:r/>
            <w:r>
              <w:rPr>
                <w:rFonts w:ascii="Avenir Next LT Pro" w:hAnsi="Avenir Next LT Pro"/>
                <w:b w:val="0"/>
                <w:i w:val="0"/>
                <w:color w:val="1C4076"/>
                <w:sz w:val="17"/>
              </w:rPr>
              <w:t>Details of the issuer</w:t>
            </w:r>
          </w:p>
        </w:tc>
      </w:tr>
      <w:tr>
        <w:tc>
          <w:tcPr>
            <w:tcW w:type="dxa" w:w="3402"/>
          </w:tcPr>
          <w:p>
            <w:r/>
            <w:r>
              <w:rPr>
                <w:rFonts w:ascii="Avenir Next LT Pro" w:hAnsi="Avenir Next LT Pro"/>
                <w:b w:val="0"/>
                <w:i w:val="0"/>
                <w:color w:val="1C4076"/>
                <w:sz w:val="17"/>
              </w:rPr>
              <w:t>a)</w:t>
            </w:r>
          </w:p>
        </w:tc>
        <w:tc>
          <w:tcPr>
            <w:tcW w:type="dxa" w:w="3402"/>
          </w:tcPr>
          <w:p>
            <w:r/>
            <w:r>
              <w:rPr>
                <w:rFonts w:ascii="Avenir Next LT Pro" w:hAnsi="Avenir Next LT Pro"/>
                <w:b w:val="0"/>
                <w:i w:val="0"/>
                <w:color w:val="1C4076"/>
                <w:sz w:val="17"/>
              </w:rPr>
              <w:t>Name</w:t>
            </w:r>
          </w:p>
        </w:tc>
        <w:tc>
          <w:tcPr>
            <w:tcW w:type="dxa" w:w="3402"/>
          </w:tcPr>
          <w:p>
            <w:r/>
            <w:r>
              <w:rPr>
                <w:rFonts w:ascii="Avenir Next LT Pro" w:hAnsi="Avenir Next LT Pro"/>
                <w:b w:val="0"/>
                <w:i w:val="0"/>
                <w:color w:val="1C4076"/>
                <w:sz w:val="17"/>
              </w:rPr>
              <w:t>BioMar Group A/S</w:t>
            </w:r>
          </w:p>
        </w:tc>
      </w:tr>
      <w:tr>
        <w:tc>
          <w:tcPr>
            <w:tcW w:type="dxa" w:w="3402"/>
          </w:tcPr>
          <w:p>
            <w:r/>
            <w:r>
              <w:rPr>
                <w:rFonts w:ascii="Avenir Next LT Pro" w:hAnsi="Avenir Next LT Pro"/>
                <w:b w:val="0"/>
                <w:i w:val="0"/>
                <w:color w:val="1C4076"/>
                <w:sz w:val="17"/>
              </w:rPr>
              <w:t>b)</w:t>
            </w:r>
          </w:p>
        </w:tc>
        <w:tc>
          <w:tcPr>
            <w:tcW w:type="dxa" w:w="3402"/>
          </w:tcPr>
          <w:p>
            <w:r/>
            <w:r>
              <w:rPr>
                <w:rFonts w:ascii="Avenir Next LT Pro" w:hAnsi="Avenir Next LT Pro"/>
                <w:b w:val="0"/>
                <w:i w:val="0"/>
                <w:color w:val="1C4076"/>
                <w:sz w:val="17"/>
              </w:rPr>
              <w:t>LEI code</w:t>
            </w:r>
          </w:p>
        </w:tc>
        <w:tc>
          <w:tcPr>
            <w:tcW w:type="dxa" w:w="3402"/>
          </w:tcPr>
          <w:p>
            <w:r/>
            <w:r>
              <w:rPr>
                <w:rFonts w:ascii="Avenir Next LT Pro" w:hAnsi="Avenir Next LT Pro"/>
                <w:b w:val="0"/>
                <w:i w:val="0"/>
                <w:color w:val="1C4076"/>
                <w:sz w:val="17"/>
              </w:rPr>
              <w:t>213800O6S18WUKPWKU13</w:t>
            </w:r>
          </w:p>
        </w:tc>
      </w:tr>
      <w:tr>
        <w:tc>
          <w:tcPr>
            <w:tcW w:type="dxa" w:w="3402"/>
          </w:tcPr>
          <w:p>
            <w:r/>
            <w:r>
              <w:rPr>
                <w:rFonts w:ascii="Avenir Next LT Pro" w:hAnsi="Avenir Next LT Pro"/>
                <w:b w:val="0"/>
                <w:i w:val="0"/>
                <w:color w:val="1C4076"/>
                <w:sz w:val="17"/>
              </w:rPr>
              <w:t>4</w:t>
            </w:r>
          </w:p>
        </w:tc>
        <w:tc>
          <w:tcPr>
            <w:tcW w:type="dxa" w:w="3402"/>
          </w:tcPr>
          <w:p>
            <w:r/>
            <w:r>
              <w:rPr>
                <w:rFonts w:ascii="Avenir Next LT Pro" w:hAnsi="Avenir Next LT Pro"/>
                <w:b w:val="0"/>
                <w:i w:val="0"/>
                <w:color w:val="1C4076"/>
                <w:sz w:val="17"/>
              </w:rPr>
              <w:t>Details of the transaction(s)¹</w:t>
            </w:r>
          </w:p>
        </w:tc>
        <w:tc>
          <w:tcPr>
            <w:tcW w:type="dxa" w:w="3402"/>
          </w:tcPr>
          <w:p>
            <w:r/>
            <w:r>
              <w:rPr>
                <w:rFonts w:ascii="Avenir Next LT Pro" w:hAnsi="Avenir Next LT Pro"/>
                <w:b w:val="0"/>
                <w:i w:val="0"/>
                <w:color w:val="1C4076"/>
                <w:sz w:val="17"/>
              </w:rPr>
              <w:t>Details of the transaction(s)¹</w:t>
            </w:r>
          </w:p>
        </w:tc>
      </w:tr>
      <w:tr>
        <w:tc>
          <w:tcPr>
            <w:tcW w:type="dxa" w:w="3402"/>
          </w:tcPr>
          <w:p>
            <w:r/>
            <w:r>
              <w:rPr>
                <w:rFonts w:ascii="Avenir Next LT Pro" w:hAnsi="Avenir Next LT Pro"/>
                <w:b w:val="0"/>
                <w:i w:val="0"/>
                <w:color w:val="1C4076"/>
                <w:sz w:val="17"/>
              </w:rPr>
              <w:t>a)</w:t>
            </w:r>
          </w:p>
        </w:tc>
        <w:tc>
          <w:tcPr>
            <w:tcW w:type="dxa" w:w="3402"/>
          </w:tcPr>
          <w:p>
            <w:r/>
            <w:r>
              <w:rPr>
                <w:rFonts w:ascii="Avenir Next LT Pro" w:hAnsi="Avenir Next LT Pro"/>
                <w:b w:val="0"/>
                <w:i w:val="0"/>
                <w:color w:val="1C4076"/>
                <w:sz w:val="17"/>
              </w:rPr>
              <w:t>Description of the financial instrument, type of instrument and identification code</w:t>
            </w:r>
          </w:p>
        </w:tc>
        <w:tc>
          <w:tcPr>
            <w:tcW w:type="dxa" w:w="3402"/>
          </w:tcPr>
          <w:p>
            <w:r/>
            <w:r>
              <w:rPr>
                <w:rFonts w:ascii="Avenir Next LT Pro" w:hAnsi="Avenir Next LT Pro"/>
                <w:b w:val="0"/>
                <w:i w:val="0"/>
                <w:color w:val="1C4076"/>
                <w:sz w:val="17"/>
              </w:rPr>
              <w:t>[Indication as to the nature of the instrument e.g., Share, a debt instrument, a derivative or other financial instrument linked to a Share or a debt instrument]</w:t>
              <w:br/>
              <w:t>ISIN: DK0064867972</w:t>
            </w:r>
          </w:p>
        </w:tc>
      </w:tr>
      <w:tr>
        <w:tc>
          <w:tcPr>
            <w:tcW w:type="dxa" w:w="3402"/>
          </w:tcPr>
          <w:p>
            <w:r/>
            <w:r>
              <w:rPr>
                <w:rFonts w:ascii="Avenir Next LT Pro" w:hAnsi="Avenir Next LT Pro"/>
                <w:b w:val="0"/>
                <w:i w:val="0"/>
                <w:color w:val="1C4076"/>
                <w:sz w:val="17"/>
              </w:rPr>
              <w:t>b)</w:t>
            </w:r>
          </w:p>
        </w:tc>
        <w:tc>
          <w:tcPr>
            <w:tcW w:type="dxa" w:w="3402"/>
          </w:tcPr>
          <w:p>
            <w:r/>
            <w:r>
              <w:rPr>
                <w:rFonts w:ascii="Avenir Next LT Pro" w:hAnsi="Avenir Next LT Pro"/>
                <w:b w:val="0"/>
                <w:i w:val="0"/>
                <w:color w:val="1C4076"/>
                <w:sz w:val="17"/>
              </w:rPr>
              <w:t>Nature of the transaction</w:t>
            </w:r>
          </w:p>
        </w:tc>
        <w:tc>
          <w:tcPr>
            <w:tcW w:type="dxa" w:w="3402"/>
          </w:tcPr>
          <w:p>
            <w:r/>
            <w:r>
              <w:rPr>
                <w:rFonts w:ascii="Avenir Next LT Pro" w:hAnsi="Avenir Next LT Pro"/>
                <w:b w:val="0"/>
                <w:i w:val="0"/>
                <w:color w:val="1C4076"/>
                <w:sz w:val="17"/>
              </w:rPr>
              <w:t>[Description of the transaction type, e.g. purchase, sale, lending, pledging, transactions undertaken by persons professionally arranging or executing transactions and certain transactions made under a life insurance policy. It should be indicated whether the transaction is linked to the exercise of a share option programme]</w:t>
            </w:r>
          </w:p>
        </w:tc>
      </w:tr>
      <w:tr>
        <w:tc>
          <w:tcPr>
            <w:tcW w:type="dxa" w:w="3402"/>
          </w:tcPr>
          <w:p>
            <w:r/>
            <w:r>
              <w:rPr>
                <w:rFonts w:ascii="Avenir Next LT Pro" w:hAnsi="Avenir Next LT Pro"/>
                <w:b w:val="0"/>
                <w:i w:val="0"/>
                <w:color w:val="1C4076"/>
                <w:sz w:val="17"/>
              </w:rPr>
              <w:t>c)</w:t>
            </w:r>
          </w:p>
        </w:tc>
        <w:tc>
          <w:tcPr>
            <w:tcW w:type="dxa" w:w="3402"/>
          </w:tcPr>
          <w:p>
            <w:r/>
            <w:r>
              <w:rPr>
                <w:rFonts w:ascii="Avenir Next LT Pro" w:hAnsi="Avenir Next LT Pro"/>
                <w:b w:val="0"/>
                <w:i w:val="0"/>
                <w:color w:val="1C4076"/>
                <w:sz w:val="17"/>
              </w:rPr>
              <w:t>Price(s) and volume(s)</w:t>
            </w:r>
          </w:p>
        </w:tc>
        <w:tc>
          <w:tcPr>
            <w:tcW w:type="dxa" w:w="3402"/>
          </w:tcPr>
          <w:p>
            <w:r/>
            <w:r>
              <w:rPr>
                <w:rFonts w:ascii="Avenir Next LT Pro" w:hAnsi="Avenir Next LT Pro"/>
                <w:b w:val="0"/>
                <w:i w:val="0"/>
                <w:color w:val="1C4076"/>
                <w:sz w:val="17"/>
              </w:rPr>
              <w:t>[Add additional rows to the table above for each individual transaction covered by the same trade order]</w:t>
            </w:r>
          </w:p>
        </w:tc>
      </w:tr>
      <w:tr>
        <w:tc>
          <w:tcPr>
            <w:tcW w:type="dxa" w:w="3402"/>
          </w:tcPr>
          <w:p>
            <w:r/>
            <w:r>
              <w:rPr>
                <w:rFonts w:ascii="Avenir Next LT Pro" w:hAnsi="Avenir Next LT Pro"/>
                <w:b w:val="0"/>
                <w:i w:val="0"/>
                <w:color w:val="1C4076"/>
                <w:sz w:val="17"/>
              </w:rPr>
              <w:t>d)</w:t>
            </w:r>
          </w:p>
        </w:tc>
        <w:tc>
          <w:tcPr>
            <w:tcW w:type="dxa" w:w="3402"/>
          </w:tcPr>
          <w:p>
            <w:r/>
            <w:r>
              <w:rPr>
                <w:rFonts w:ascii="Avenir Next LT Pro" w:hAnsi="Avenir Next LT Pro"/>
                <w:b w:val="0"/>
                <w:i w:val="0"/>
                <w:color w:val="1C4076"/>
                <w:sz w:val="17"/>
              </w:rPr>
              <w:t>Aggregated information</w:t>
              <w:br/>
              <w:t>- Aggregated volume</w:t>
              <w:br/>
              <w:t>- Price</w:t>
            </w:r>
          </w:p>
        </w:tc>
        <w:tc>
          <w:tcPr>
            <w:tcW w:type="dxa" w:w="3402"/>
          </w:tcPr>
          <w:p>
            <w:r/>
            <w:r>
              <w:rPr>
                <w:rFonts w:ascii="Avenir Next LT Pro" w:hAnsi="Avenir Next LT Pro"/>
                <w:b w:val="0"/>
                <w:i w:val="0"/>
                <w:color w:val="1C4076"/>
                <w:sz w:val="17"/>
              </w:rPr>
              <w:t>[The total price (price X volume) should be stated when there is a single transaction. The volumes of multiple transactions are aggregated when these transactions relate to the same financial instrument, are of the same nature, are executed on the same day and are executed on the same “place of transaction”. In case the volumes of multiple transactions are aggregated, state the weighted average price³  of the aggregated transactions]</w:t>
            </w:r>
          </w:p>
        </w:tc>
      </w:tr>
      <w:tr>
        <w:tc>
          <w:tcPr>
            <w:tcW w:type="dxa" w:w="3402"/>
          </w:tcPr>
          <w:p>
            <w:r/>
            <w:r>
              <w:rPr>
                <w:rFonts w:ascii="Avenir Next LT Pro" w:hAnsi="Avenir Next LT Pro"/>
                <w:b w:val="0"/>
                <w:i w:val="0"/>
                <w:color w:val="1C4076"/>
                <w:sz w:val="17"/>
              </w:rPr>
              <w:t>e)</w:t>
            </w:r>
          </w:p>
        </w:tc>
        <w:tc>
          <w:tcPr>
            <w:tcW w:type="dxa" w:w="3402"/>
          </w:tcPr>
          <w:p>
            <w:r/>
            <w:r>
              <w:rPr>
                <w:rFonts w:ascii="Avenir Next LT Pro" w:hAnsi="Avenir Next LT Pro"/>
                <w:b w:val="0"/>
                <w:i w:val="0"/>
                <w:color w:val="1C4076"/>
                <w:sz w:val="17"/>
              </w:rPr>
              <w:t>Date of the transaction</w:t>
            </w:r>
          </w:p>
        </w:tc>
        <w:tc>
          <w:tcPr>
            <w:tcW w:type="dxa" w:w="3402"/>
          </w:tcPr>
          <w:p>
            <w:r/>
            <w:r>
              <w:rPr>
                <w:rFonts w:ascii="Avenir Next LT Pro" w:hAnsi="Avenir Next LT Pro"/>
                <w:b w:val="0"/>
                <w:i w:val="0"/>
                <w:color w:val="1C4076"/>
                <w:sz w:val="17"/>
              </w:rPr>
              <w:t>[YYYY-MM-DD, UTC time.] [Denmark is UTC+1 in zonetime and UTC+2 in summertime]</w:t>
            </w:r>
          </w:p>
        </w:tc>
      </w:tr>
      <w:tr>
        <w:tc>
          <w:tcPr>
            <w:tcW w:type="dxa" w:w="3402"/>
          </w:tcPr>
          <w:p>
            <w:r/>
            <w:r>
              <w:rPr>
                <w:rFonts w:ascii="Avenir Next LT Pro" w:hAnsi="Avenir Next LT Pro"/>
                <w:b w:val="0"/>
                <w:i w:val="0"/>
                <w:color w:val="1C4076"/>
                <w:sz w:val="17"/>
              </w:rPr>
              <w:t>f)</w:t>
            </w:r>
          </w:p>
        </w:tc>
        <w:tc>
          <w:tcPr>
            <w:tcW w:type="dxa" w:w="3402"/>
          </w:tcPr>
          <w:p>
            <w:r/>
            <w:r>
              <w:rPr>
                <w:rFonts w:ascii="Avenir Next LT Pro" w:hAnsi="Avenir Next LT Pro"/>
                <w:b w:val="0"/>
                <w:i w:val="0"/>
                <w:color w:val="1C4076"/>
                <w:sz w:val="17"/>
              </w:rPr>
              <w:t>Place of the transaction</w:t>
            </w:r>
          </w:p>
        </w:tc>
        <w:tc>
          <w:tcPr>
            <w:tcW w:type="dxa" w:w="3402"/>
          </w:tcPr>
          <w:p>
            <w:r/>
            <w:r>
              <w:rPr>
                <w:rFonts w:ascii="Avenir Next LT Pro" w:hAnsi="Avenir Next LT Pro"/>
                <w:b w:val="0"/>
                <w:i w:val="0"/>
                <w:color w:val="1C4076"/>
                <w:sz w:val="17"/>
              </w:rPr>
              <w:t>[Nasdaq Copenhagen A/S – XCSE</w:t>
              <w:br/>
              <w:t>If the transaction was not executed on the abovementioned venue, please mention “outside a trading venue”]</w:t>
            </w:r>
          </w:p>
        </w:tc>
      </w:tr>
    </w:tbl>
    <w:p>
      <w:pPr>
        <w:spacing w:after="80"/>
      </w:pPr>
      <w:r>
        <w:rPr>
          <w:rFonts w:ascii="Avenir Next LT Pro" w:hAnsi="Avenir Next LT Pro"/>
          <w:b w:val="0"/>
          <w:i w:val="0"/>
          <w:color w:val="1C4076"/>
          <w:sz w:val="15"/>
        </w:rPr>
        <w:t>¹ Section to be repeated for (i) each type of instrument; (ii) each type of transaction; (iii) each date; and (iv) each place where transactions have been conducted</w:t>
      </w:r>
    </w:p>
    <w:p>
      <w:pPr>
        <w:spacing w:after="80"/>
      </w:pPr>
      <w:r>
        <w:rPr>
          <w:rFonts w:ascii="Avenir Next LT Pro" w:hAnsi="Avenir Next LT Pro"/>
          <w:b w:val="0"/>
          <w:i w:val="0"/>
          <w:color w:val="1C4076"/>
          <w:sz w:val="15"/>
        </w:rPr>
        <w:t>³ Weighted average price</w:t>
      </w:r>
    </w:p>
    <w:p>
      <w:pPr>
        <w:keepNext/>
        <w:pageBreakBefore/>
        <w:spacing w:before="260" w:after="160"/>
      </w:pPr>
      <w:r>
        <w:rPr>
          <w:rFonts w:ascii="Avenir Next LT Pro" w:hAnsi="Avenir Next LT Pro"/>
          <w:b/>
          <w:i w:val="0"/>
          <w:color w:val="1C4076"/>
          <w:sz w:val="28"/>
        </w:rPr>
        <w:t>Schedule 3.3 - Power of Attorney for the notification of the Danish Financial Supervisory Authority</w:t>
      </w:r>
    </w:p>
    <w:p>
      <w:pPr>
        <w:spacing w:after="200"/>
        <w:jc w:val="both"/>
      </w:pPr>
      <w:r>
        <w:rPr>
          <w:rFonts w:ascii="Avenir Next LT Pro" w:hAnsi="Avenir Next LT Pro"/>
          <w:b w:val="0"/>
          <w:i w:val="0"/>
          <w:color w:val="1C4076"/>
          <w:sz w:val="22"/>
        </w:rPr>
        <w:t>I, the undersigned, authorise BioMar Group A/S, CVR no. 38 57 06 17 (the “Company”), with right of substitution, to file on my behalf, transactions with Shares, debt instruments or derivatives linked thereto issued by the Company subject to notification requirements under Article 19 of the Market Abuse Regulation with the Danish Financial Supervisory Authority (the “Purpose”).</w:t>
      </w:r>
    </w:p>
    <w:p>
      <w:pPr>
        <w:spacing w:after="200"/>
        <w:jc w:val="both"/>
      </w:pPr>
      <w:r>
        <w:rPr>
          <w:rFonts w:ascii="Avenir Next LT Pro" w:hAnsi="Avenir Next LT Pro"/>
          <w:b w:val="0"/>
          <w:i w:val="0"/>
          <w:color w:val="1C4076"/>
          <w:sz w:val="22"/>
        </w:rPr>
        <w:t>Filing with the Danish Financial Supervisory Authority, including reporting and submitting the required information in the Danish Financial Supervisory Authority’s Officially Appointed Mechanism (the “OAM-system”) may be made on the basis of notifications sent by me to the Company.</w:t>
      </w:r>
    </w:p>
    <w:p>
      <w:pPr>
        <w:spacing w:after="200"/>
        <w:jc w:val="both"/>
      </w:pPr>
      <w:r>
        <w:rPr>
          <w:rFonts w:ascii="Avenir Next LT Pro" w:hAnsi="Avenir Next LT Pro"/>
          <w:b w:val="0"/>
          <w:i w:val="0"/>
          <w:color w:val="1C4076"/>
          <w:sz w:val="22"/>
        </w:rPr>
        <w:t>I understand and accept that the filing with the Danish Financial Supervisory Authority is made on my behalf and at my responsibility, and I confirm that all information contained in any of my notifications to the Company of transactions is and will be correct and accurate. This confirmation shall be deemed to be repeated each time a notification is submitted by me.</w:t>
      </w:r>
    </w:p>
    <w:p>
      <w:pPr>
        <w:spacing w:after="200"/>
        <w:jc w:val="both"/>
      </w:pPr>
      <w:r>
        <w:rPr>
          <w:rFonts w:ascii="Avenir Next LT Pro" w:hAnsi="Avenir Next LT Pro"/>
          <w:b w:val="0"/>
          <w:i w:val="0"/>
          <w:color w:val="1C4076"/>
          <w:sz w:val="22"/>
        </w:rPr>
        <w:t>The information that will be collected and processed by the Company pursuant to this power of attorney (i.e. the information provided below and information on transactions with Shares in the Company provided by the undersigned) will be processed in accordance with Appendix A to Schedule 3.3 – Handling of personal data.</w:t>
      </w:r>
    </w:p>
    <w:p>
      <w:pPr>
        <w:spacing w:after="200"/>
        <w:jc w:val="both"/>
      </w:pPr>
      <w:r>
        <w:rPr>
          <w:rFonts w:ascii="Avenir Next LT Pro" w:hAnsi="Avenir Next LT Pro"/>
          <w:b w:val="0"/>
          <w:i w:val="0"/>
          <w:color w:val="1C4076"/>
          <w:sz w:val="22"/>
        </w:rPr>
        <w:t>Date: ___________________________</w:t>
      </w:r>
    </w:p>
    <w:p>
      <w:pPr>
        <w:spacing w:after="200"/>
        <w:jc w:val="both"/>
      </w:pPr>
      <w:r>
        <w:rPr>
          <w:rFonts w:ascii="Avenir Next LT Pro" w:hAnsi="Avenir Next LT Pro"/>
          <w:b w:val="0"/>
          <w:i w:val="0"/>
          <w:color w:val="1C4076"/>
          <w:sz w:val="22"/>
        </w:rPr>
        <w:t>Name: ___________________________</w:t>
      </w:r>
    </w:p>
    <w:p>
      <w:pPr>
        <w:spacing w:after="200"/>
        <w:jc w:val="both"/>
      </w:pPr>
      <w:r>
        <w:rPr>
          <w:rFonts w:ascii="Avenir Next LT Pro" w:hAnsi="Avenir Next LT Pro"/>
          <w:b w:val="0"/>
          <w:i w:val="0"/>
          <w:color w:val="1C4076"/>
          <w:sz w:val="22"/>
        </w:rPr>
        <w:t>Title:  ___________________________</w:t>
      </w:r>
    </w:p>
    <w:p>
      <w:pPr>
        <w:spacing w:after="200"/>
        <w:jc w:val="both"/>
      </w:pPr>
      <w:r>
        <w:rPr>
          <w:rFonts w:ascii="Avenir Next LT Pro" w:hAnsi="Avenir Next LT Pro"/>
          <w:b w:val="0"/>
          <w:i w:val="0"/>
          <w:color w:val="1C4076"/>
          <w:sz w:val="22"/>
        </w:rPr>
        <w:t>Signature: ___________________________</w:t>
      </w:r>
    </w:p>
    <w:p>
      <w:pPr>
        <w:keepNext/>
        <w:pageBreakBefore/>
        <w:spacing w:before="260" w:after="160"/>
      </w:pPr>
      <w:r>
        <w:rPr>
          <w:rFonts w:ascii="Avenir Next LT Pro" w:hAnsi="Avenir Next LT Pro"/>
          <w:b/>
          <w:i w:val="0"/>
          <w:color w:val="1C4076"/>
          <w:sz w:val="28"/>
        </w:rPr>
        <w:t>Appendix A to Schedule 3.3 – Handling of personal data</w:t>
      </w:r>
    </w:p>
    <w:p>
      <w:pPr>
        <w:spacing w:after="200"/>
        <w:jc w:val="both"/>
      </w:pPr>
      <w:r>
        <w:rPr>
          <w:rFonts w:ascii="Avenir Next LT Pro" w:hAnsi="Avenir Next LT Pro"/>
          <w:b w:val="0"/>
          <w:i w:val="0"/>
          <w:color w:val="1C4076"/>
          <w:sz w:val="22"/>
        </w:rPr>
        <w:t>The information provided under this power of attorney will be collected, processed and used by BioMar Group A/S (the “Company”) for the Purpose and will otherwise be treated as confidential information by those, who are allowed to process the information.</w:t>
      </w:r>
    </w:p>
    <w:p>
      <w:pPr>
        <w:spacing w:after="200"/>
        <w:jc w:val="both"/>
      </w:pPr>
      <w:r>
        <w:rPr>
          <w:rFonts w:ascii="Avenir Next LT Pro" w:hAnsi="Avenir Next LT Pro"/>
          <w:b w:val="0"/>
          <w:i w:val="0"/>
          <w:color w:val="1C4076"/>
          <w:sz w:val="22"/>
        </w:rPr>
        <w:t>Your personal data will be stored by the Company or its third party service providers in Denmark and may be accessed by the Company’s group entities worldwide, however only on a need to know basis.</w:t>
      </w:r>
    </w:p>
    <w:p>
      <w:pPr>
        <w:spacing w:after="200"/>
        <w:jc w:val="both"/>
      </w:pPr>
      <w:r>
        <w:rPr>
          <w:rFonts w:ascii="Avenir Next LT Pro" w:hAnsi="Avenir Next LT Pro"/>
          <w:b w:val="0"/>
          <w:i w:val="0"/>
          <w:color w:val="1C4076"/>
          <w:sz w:val="22"/>
        </w:rPr>
        <w:t>Please be informed that the level of data protection as currently applied and enforced in countries outside the European Union does not conform to the level of data protection for personal data currently applied and enforced within the European Union. The transfer of data between the Company’s group entities will be based on Commission’s standard contractual clauses or other valid legal basis for such transfer.</w:t>
      </w:r>
    </w:p>
    <w:p>
      <w:pPr>
        <w:spacing w:after="200"/>
        <w:jc w:val="both"/>
      </w:pPr>
      <w:r>
        <w:rPr>
          <w:rFonts w:ascii="Avenir Next LT Pro" w:hAnsi="Avenir Next LT Pro"/>
          <w:b w:val="0"/>
          <w:i w:val="0"/>
          <w:color w:val="1C4076"/>
          <w:sz w:val="22"/>
        </w:rPr>
        <w:t>If you wish to (i) obtain a copy of your personal data which the Company stores and process about you in a structured, commonly used and machine-readable format, (ii) obtain further information on the personal data which the Company stores and processes about, (iii) object to your personal data being processed, or (iv) request that your personal data is rectified, please contact the Company’s Chief Legal Officer. If you have any complaints about the Company’s processing of your personal data, you may contact the Danish Data Protection Agency.</w:t>
      </w:r>
    </w:p>
    <w:p>
      <w:pPr>
        <w:spacing w:after="200"/>
        <w:jc w:val="both"/>
      </w:pPr>
      <w:r>
        <w:rPr>
          <w:rFonts w:ascii="Avenir Next LT Pro" w:hAnsi="Avenir Next LT Pro"/>
          <w:b w:val="0"/>
          <w:i w:val="0"/>
          <w:color w:val="1C4076"/>
          <w:sz w:val="22"/>
        </w:rPr>
        <w:t>The Company will keep your personal data for as long as this power of attorney is valid (i.e. until receipt of written revocation) or as long as the Company is otherwise required under applicable law to keep your personal data.</w:t>
      </w:r>
    </w:p>
    <w:p>
      <w:pPr>
        <w:keepNext/>
        <w:pageBreakBefore/>
        <w:spacing w:before="260" w:after="160"/>
      </w:pPr>
      <w:r>
        <w:rPr>
          <w:rFonts w:ascii="Avenir Next LT Pro" w:hAnsi="Avenir Next LT Pro"/>
          <w:b/>
          <w:i w:val="0"/>
          <w:color w:val="1C4076"/>
          <w:sz w:val="28"/>
        </w:rPr>
        <w:t>Schedule 3.4 – List of transactions subject to the notification obligation</w:t>
      </w:r>
    </w:p>
    <w:p>
      <w:pPr>
        <w:spacing w:after="200"/>
        <w:jc w:val="both"/>
      </w:pPr>
      <w:r>
        <w:rPr>
          <w:rFonts w:ascii="Avenir Next LT Pro" w:hAnsi="Avenir Next LT Pro"/>
          <w:b w:val="0"/>
          <w:i w:val="0"/>
          <w:color w:val="1C4076"/>
          <w:sz w:val="22"/>
        </w:rPr>
        <w:t>The following is a non-exhaustive list of transactions in the Company’s Shares, debt instruments or derivatives linked thereto, which are subject to the transaction notification obligation in accordance with Part 3 of the Internal Rules⁴.</w:t>
      </w:r>
    </w:p>
    <w:p>
      <w:pPr>
        <w:spacing w:after="80"/>
      </w:pPr>
      <w:r>
        <w:rPr>
          <w:rFonts w:ascii="Avenir Next LT Pro" w:hAnsi="Avenir Next LT Pro"/>
          <w:b w:val="0"/>
          <w:i w:val="0"/>
          <w:color w:val="1C4076"/>
          <w:sz w:val="15"/>
        </w:rPr>
        <w:t>⁴ The transactions are listed in Article 19(7) of the Market Abuse Regulation and Article 10(2) of the Delegated Regulation (EU) 2016/522 of 17 December 2015.</w:t>
      </w:r>
    </w:p>
    <w:p>
      <w:pPr>
        <w:pStyle w:val="ListBullet"/>
        <w:spacing w:after="80"/>
      </w:pPr>
      <w:r>
        <w:rPr>
          <w:rFonts w:ascii="Avenir Next LT Pro" w:hAnsi="Avenir Next LT Pro"/>
          <w:b w:val="0"/>
          <w:i w:val="0"/>
          <w:color w:val="1C4076"/>
          <w:sz w:val="22"/>
        </w:rPr>
        <w:t>(a) acquisition, disposal, short sale, subscription or exchange;</w:t>
      </w:r>
    </w:p>
    <w:p>
      <w:pPr>
        <w:pStyle w:val="ListBullet"/>
        <w:spacing w:after="80"/>
      </w:pPr>
      <w:r>
        <w:rPr>
          <w:rFonts w:ascii="Avenir Next LT Pro" w:hAnsi="Avenir Next LT Pro"/>
          <w:b w:val="0"/>
          <w:i w:val="0"/>
          <w:color w:val="1C4076"/>
          <w:sz w:val="22"/>
        </w:rPr>
        <w:t>(b) acceptance or exercise of a share option, including of a share option granted to Reporting Persons as part of their remuneration package, and the disposal of shares stemming from the exercise of a share option;</w:t>
      </w:r>
    </w:p>
    <w:p>
      <w:pPr>
        <w:pStyle w:val="ListBullet"/>
        <w:spacing w:after="80"/>
      </w:pPr>
      <w:r>
        <w:rPr>
          <w:rFonts w:ascii="Avenir Next LT Pro" w:hAnsi="Avenir Next LT Pro"/>
          <w:b w:val="0"/>
          <w:i w:val="0"/>
          <w:color w:val="1C4076"/>
          <w:sz w:val="22"/>
        </w:rPr>
        <w:t>(c) entering into or exercise of equity swaps;</w:t>
      </w:r>
    </w:p>
    <w:p>
      <w:pPr>
        <w:pStyle w:val="ListBullet"/>
        <w:spacing w:after="80"/>
      </w:pPr>
      <w:r>
        <w:rPr>
          <w:rFonts w:ascii="Avenir Next LT Pro" w:hAnsi="Avenir Next LT Pro"/>
          <w:b w:val="0"/>
          <w:i w:val="0"/>
          <w:color w:val="1C4076"/>
          <w:sz w:val="22"/>
        </w:rPr>
        <w:t>(d) transactions in or related to derivatives, including cash-settled transaction;</w:t>
      </w:r>
    </w:p>
    <w:p>
      <w:pPr>
        <w:pStyle w:val="ListBullet"/>
        <w:spacing w:after="80"/>
      </w:pPr>
      <w:r>
        <w:rPr>
          <w:rFonts w:ascii="Avenir Next LT Pro" w:hAnsi="Avenir Next LT Pro"/>
          <w:b w:val="0"/>
          <w:i w:val="0"/>
          <w:color w:val="1C4076"/>
          <w:sz w:val="22"/>
        </w:rPr>
        <w:t>(e) entering into a contract for difference on a financial instrument of the concerned issuer or on emission allowances or auction products based thereon;</w:t>
      </w:r>
    </w:p>
    <w:p>
      <w:pPr>
        <w:pStyle w:val="ListBullet"/>
        <w:spacing w:after="80"/>
      </w:pPr>
      <w:r>
        <w:rPr>
          <w:rFonts w:ascii="Avenir Next LT Pro" w:hAnsi="Avenir Next LT Pro"/>
          <w:b w:val="0"/>
          <w:i w:val="0"/>
          <w:color w:val="1C4076"/>
          <w:sz w:val="22"/>
        </w:rPr>
        <w:t>(f) acquisition, disposal or exercise of rights, including put and call options, and warrants;</w:t>
      </w:r>
    </w:p>
    <w:p>
      <w:pPr>
        <w:pStyle w:val="ListBullet"/>
        <w:spacing w:after="80"/>
      </w:pPr>
      <w:r>
        <w:rPr>
          <w:rFonts w:ascii="Avenir Next LT Pro" w:hAnsi="Avenir Next LT Pro"/>
          <w:b w:val="0"/>
          <w:i w:val="0"/>
          <w:color w:val="1C4076"/>
          <w:sz w:val="22"/>
        </w:rPr>
        <w:t>(g) subscription to a capital increase or debt instrument issuance;</w:t>
      </w:r>
    </w:p>
    <w:p>
      <w:pPr>
        <w:pStyle w:val="ListBullet"/>
        <w:spacing w:after="80"/>
      </w:pPr>
      <w:r>
        <w:rPr>
          <w:rFonts w:ascii="Avenir Next LT Pro" w:hAnsi="Avenir Next LT Pro"/>
          <w:b w:val="0"/>
          <w:i w:val="0"/>
          <w:color w:val="1C4076"/>
          <w:sz w:val="22"/>
        </w:rPr>
        <w:t>(h) transactions in derivatives and financial instruments linked to a debt instrument of the Company, including credit default swaps;</w:t>
      </w:r>
    </w:p>
    <w:p>
      <w:pPr>
        <w:pStyle w:val="ListBullet"/>
        <w:spacing w:after="80"/>
      </w:pPr>
      <w:r>
        <w:rPr>
          <w:rFonts w:ascii="Avenir Next LT Pro" w:hAnsi="Avenir Next LT Pro"/>
          <w:b w:val="0"/>
          <w:i w:val="0"/>
          <w:color w:val="1C4076"/>
          <w:sz w:val="22"/>
        </w:rPr>
        <w:t>(i) conditional transactions upon the occurrence of the conditions and actual execution of the transactions;</w:t>
      </w:r>
    </w:p>
    <w:p>
      <w:pPr>
        <w:pStyle w:val="ListBullet"/>
        <w:spacing w:after="80"/>
      </w:pPr>
      <w:r>
        <w:rPr>
          <w:rFonts w:ascii="Avenir Next LT Pro" w:hAnsi="Avenir Next LT Pro"/>
          <w:b w:val="0"/>
          <w:i w:val="0"/>
          <w:color w:val="1C4076"/>
          <w:sz w:val="22"/>
        </w:rPr>
        <w:t>(j) automatic or non-automatic conversion of a financial instrument into another financial instrument, including the exchange of convertible bonds to Shares;</w:t>
      </w:r>
    </w:p>
    <w:p>
      <w:pPr>
        <w:pStyle w:val="ListBullet"/>
        <w:spacing w:after="80"/>
      </w:pPr>
      <w:r>
        <w:rPr>
          <w:rFonts w:ascii="Avenir Next LT Pro" w:hAnsi="Avenir Next LT Pro"/>
          <w:b w:val="0"/>
          <w:i w:val="0"/>
          <w:color w:val="1C4076"/>
          <w:sz w:val="22"/>
        </w:rPr>
        <w:t>(k) gifts and donations made or received, and inheritance received;</w:t>
      </w:r>
    </w:p>
    <w:p>
      <w:pPr>
        <w:pStyle w:val="ListBullet"/>
        <w:spacing w:after="80"/>
      </w:pPr>
      <w:r>
        <w:rPr>
          <w:rFonts w:ascii="Avenir Next LT Pro" w:hAnsi="Avenir Next LT Pro"/>
          <w:b w:val="0"/>
          <w:i w:val="0"/>
          <w:color w:val="1C4076"/>
          <w:sz w:val="22"/>
        </w:rPr>
        <w:t>(l) transactions executed in index-related products, baskets and derivatives, insofar as required by Article 19 of Regulation (EU) No 596/2014;</w:t>
      </w:r>
    </w:p>
    <w:p>
      <w:pPr>
        <w:pStyle w:val="ListBullet"/>
        <w:spacing w:after="80"/>
      </w:pPr>
      <w:r>
        <w:rPr>
          <w:rFonts w:ascii="Avenir Next LT Pro" w:hAnsi="Avenir Next LT Pro"/>
          <w:b w:val="0"/>
          <w:i w:val="0"/>
          <w:color w:val="1C4076"/>
          <w:sz w:val="22"/>
        </w:rPr>
        <w:t>(m) transactions executed in shares or units of investment funds, including alternative investment funds (AIFs) referred to in Article 1 of Directive 2011/61/EU of the European Parliament and of the Council, insofar as required by Article 19 of Regulation (EU) No 596/2014;</w:t>
      </w:r>
    </w:p>
    <w:p>
      <w:pPr>
        <w:pStyle w:val="ListBullet"/>
        <w:spacing w:after="80"/>
      </w:pPr>
      <w:r>
        <w:rPr>
          <w:rFonts w:ascii="Avenir Next LT Pro" w:hAnsi="Avenir Next LT Pro"/>
          <w:b w:val="0"/>
          <w:i w:val="0"/>
          <w:color w:val="1C4076"/>
          <w:sz w:val="22"/>
        </w:rPr>
        <w:t>(n) transactions executed by manager of an AIF in which the Reporting Person or Closely Associated Person has invested, insofar as required by Article 19 of Regulation (EU) No 596/2014;</w:t>
      </w:r>
    </w:p>
    <w:p>
      <w:pPr>
        <w:pStyle w:val="ListBullet"/>
        <w:spacing w:after="80"/>
      </w:pPr>
      <w:r>
        <w:rPr>
          <w:rFonts w:ascii="Avenir Next LT Pro" w:hAnsi="Avenir Next LT Pro"/>
          <w:b w:val="0"/>
          <w:i w:val="0"/>
          <w:color w:val="1C4076"/>
          <w:sz w:val="22"/>
        </w:rPr>
        <w:t>(o) transactions executed by a third party under an individual portfolio or asset management mandate on behalf or for the benefit of a Reporting Person or a Closely Associated Person;</w:t>
      </w:r>
    </w:p>
    <w:p>
      <w:pPr>
        <w:pStyle w:val="ListBullet"/>
        <w:spacing w:after="80"/>
      </w:pPr>
      <w:r>
        <w:rPr>
          <w:rFonts w:ascii="Avenir Next LT Pro" w:hAnsi="Avenir Next LT Pro"/>
          <w:b w:val="0"/>
          <w:i w:val="0"/>
          <w:color w:val="1C4076"/>
          <w:sz w:val="22"/>
        </w:rPr>
        <w:t>(p) borrowing or lending of Shares or debt instruments of the Company or derivatives linked thereto.</w:t>
      </w:r>
    </w:p>
    <w:p>
      <w:pPr>
        <w:pStyle w:val="ListBullet"/>
        <w:spacing w:after="80"/>
      </w:pPr>
      <w:r>
        <w:rPr>
          <w:rFonts w:ascii="Avenir Next LT Pro" w:hAnsi="Avenir Next LT Pro"/>
          <w:b w:val="0"/>
          <w:i w:val="0"/>
          <w:color w:val="1C4076"/>
          <w:sz w:val="22"/>
        </w:rPr>
        <w:t>(q) transactions undertaken by persons professionally arranging or executing transactions or by another person on behalf of a Reporting Person or a Closely Associated Person, including where discretion is exercised; and</w:t>
      </w:r>
    </w:p>
    <w:p>
      <w:pPr>
        <w:pStyle w:val="ListBullet"/>
        <w:spacing w:after="80"/>
      </w:pPr>
      <w:r>
        <w:rPr>
          <w:rFonts w:ascii="Avenir Next LT Pro" w:hAnsi="Avenir Next LT Pro"/>
          <w:b w:val="0"/>
          <w:i w:val="0"/>
          <w:color w:val="1C4076"/>
          <w:sz w:val="22"/>
        </w:rPr>
        <w:t>(r) transactions made under a life insurance policy, defined in accordance with Directive 2009/138/EC of the European Parliament and of the Council where:</w:t>
      </w:r>
    </w:p>
    <w:p>
      <w:pPr>
        <w:pStyle w:val="ListBullet"/>
        <w:spacing w:after="80"/>
      </w:pPr>
      <w:r>
        <w:rPr>
          <w:rFonts w:ascii="Avenir Next LT Pro" w:hAnsi="Avenir Next LT Pro"/>
          <w:b w:val="0"/>
          <w:i w:val="0"/>
          <w:color w:val="1C4076"/>
          <w:sz w:val="22"/>
        </w:rPr>
        <w:t>(i) the policyholder is a Reporting Person or a Closely Associated Person, as referred to in paragraph 1, EN 12.6.2014 Official Journal of the European Union L 173/39;</w:t>
      </w:r>
    </w:p>
    <w:p>
      <w:pPr>
        <w:pStyle w:val="ListBullet"/>
        <w:spacing w:after="80"/>
      </w:pPr>
      <w:r>
        <w:rPr>
          <w:rFonts w:ascii="Avenir Next LT Pro" w:hAnsi="Avenir Next LT Pro"/>
          <w:b w:val="0"/>
          <w:i w:val="0"/>
          <w:color w:val="1C4076"/>
          <w:sz w:val="22"/>
        </w:rPr>
        <w:t>(ii) the investment risk is borne by the policyholder; and</w:t>
      </w:r>
    </w:p>
    <w:p>
      <w:pPr>
        <w:pStyle w:val="ListBullet"/>
        <w:spacing w:after="80"/>
      </w:pPr>
      <w:r>
        <w:rPr>
          <w:rFonts w:ascii="Avenir Next LT Pro" w:hAnsi="Avenir Next LT Pro"/>
          <w:b w:val="0"/>
          <w:i w:val="0"/>
          <w:color w:val="1C4076"/>
          <w:sz w:val="22"/>
        </w:rPr>
        <w:t>(iii) the policyholder has the power or discretion to make investment decisions regarding specific instruments in that life insurance policy or to execute transactions regarding specific instruments for that life insurance policy.</w:t>
      </w:r>
    </w:p>
    <w:p>
      <w:pPr>
        <w:keepNext/>
        <w:pageBreakBefore/>
        <w:spacing w:before="260" w:after="160"/>
      </w:pPr>
      <w:r>
        <w:rPr>
          <w:rFonts w:ascii="Avenir Next LT Pro" w:hAnsi="Avenir Next LT Pro"/>
          <w:b/>
          <w:i w:val="0"/>
          <w:color w:val="1C4076"/>
          <w:sz w:val="28"/>
        </w:rPr>
        <w:t>Appendix A – Definitions</w:t>
      </w:r>
    </w:p>
    <w:tbl>
      <w:tblPr>
        <w:tblStyle w:val="TableGrid"/>
        <w:tblW w:type="auto" w:w="0"/>
        <w:jc w:val="center"/>
        <w:tblLook w:firstColumn="1" w:firstRow="1" w:lastColumn="0" w:lastRow="0" w:noHBand="0" w:noVBand="1" w:val="04A0"/>
      </w:tblPr>
      <w:tblGrid>
        <w:gridCol w:w="5103"/>
        <w:gridCol w:w="5103"/>
      </w:tblGrid>
      <w:tr>
        <w:tc>
          <w:tcPr>
            <w:tcW w:type="dxa" w:w="5103"/>
          </w:tcPr>
          <w:p>
            <w:r/>
            <w:r>
              <w:rPr>
                <w:rFonts w:ascii="Avenir Next LT Pro" w:hAnsi="Avenir Next LT Pro"/>
                <w:b w:val="0"/>
                <w:i w:val="0"/>
                <w:color w:val="1C4076"/>
                <w:sz w:val="17"/>
              </w:rPr>
              <w:t>Ad-Hoc Insider List</w:t>
            </w:r>
          </w:p>
        </w:tc>
        <w:tc>
          <w:tcPr>
            <w:tcW w:type="dxa" w:w="5103"/>
          </w:tcPr>
          <w:p>
            <w:r/>
            <w:r>
              <w:rPr>
                <w:rFonts w:ascii="Avenir Next LT Pro" w:hAnsi="Avenir Next LT Pro"/>
                <w:b w:val="0"/>
                <w:i w:val="0"/>
                <w:color w:val="1C4076"/>
                <w:sz w:val="17"/>
              </w:rPr>
              <w:t>An Insider List relating to a specific piece of Inside Information (e.g. a particular transaction, significant contract, corporate or financial event) with each list including all persons, who have access to that piece of Inside Information. However, if a person is included on the Permanent Insider List, such person is not required to also be included on an Ad-Hoc Insider List and if only persons included on the Permanent Insider List has access to the Inside Information, the Ad-Hoc Insider List can be left blank except for the description of the specific piece of Inside Information to which the Ad-Hoc Insider List relates.</w:t>
            </w:r>
          </w:p>
        </w:tc>
      </w:tr>
      <w:tr>
        <w:tc>
          <w:tcPr>
            <w:tcW w:type="dxa" w:w="5103"/>
          </w:tcPr>
          <w:p>
            <w:r/>
            <w:r>
              <w:rPr>
                <w:rFonts w:ascii="Avenir Next LT Pro" w:hAnsi="Avenir Next LT Pro"/>
                <w:b w:val="0"/>
                <w:i w:val="0"/>
                <w:color w:val="1C4076"/>
                <w:sz w:val="17"/>
              </w:rPr>
              <w:t>Board of Directors</w:t>
            </w:r>
          </w:p>
        </w:tc>
        <w:tc>
          <w:tcPr>
            <w:tcW w:type="dxa" w:w="5103"/>
          </w:tcPr>
          <w:p>
            <w:r/>
            <w:r>
              <w:rPr>
                <w:rFonts w:ascii="Avenir Next LT Pro" w:hAnsi="Avenir Next LT Pro"/>
                <w:b w:val="0"/>
                <w:i w:val="0"/>
                <w:color w:val="1C4076"/>
                <w:sz w:val="17"/>
              </w:rPr>
              <w:t>The Board of Directors of the Company and the individual members thereof.</w:t>
            </w:r>
          </w:p>
        </w:tc>
      </w:tr>
      <w:tr>
        <w:tc>
          <w:tcPr>
            <w:tcW w:type="dxa" w:w="5103"/>
          </w:tcPr>
          <w:p>
            <w:r/>
            <w:r>
              <w:rPr>
                <w:rFonts w:ascii="Avenir Next LT Pro" w:hAnsi="Avenir Next LT Pro"/>
                <w:b w:val="0"/>
                <w:i w:val="0"/>
                <w:color w:val="1C4076"/>
                <w:sz w:val="17"/>
              </w:rPr>
              <w:t>Capital Markets Act</w:t>
            </w:r>
          </w:p>
        </w:tc>
        <w:tc>
          <w:tcPr>
            <w:tcW w:type="dxa" w:w="5103"/>
          </w:tcPr>
          <w:p>
            <w:r/>
            <w:r>
              <w:rPr>
                <w:rFonts w:ascii="Avenir Next LT Pro" w:hAnsi="Avenir Next LT Pro"/>
                <w:b w:val="0"/>
                <w:i w:val="0"/>
                <w:color w:val="1C4076"/>
                <w:sz w:val="17"/>
              </w:rPr>
              <w:t>The Danish Capital Markets Act as amended from time to time.</w:t>
            </w:r>
          </w:p>
        </w:tc>
      </w:tr>
      <w:tr>
        <w:tc>
          <w:tcPr>
            <w:tcW w:type="dxa" w:w="5103"/>
          </w:tcPr>
          <w:p>
            <w:r/>
            <w:r>
              <w:rPr>
                <w:rFonts w:ascii="Avenir Next LT Pro" w:hAnsi="Avenir Next LT Pro"/>
                <w:b w:val="0"/>
                <w:i w:val="0"/>
                <w:color w:val="1C4076"/>
                <w:sz w:val="17"/>
              </w:rPr>
              <w:t>Closed Period</w:t>
            </w:r>
          </w:p>
        </w:tc>
        <w:tc>
          <w:tcPr>
            <w:tcW w:type="dxa" w:w="5103"/>
          </w:tcPr>
          <w:p>
            <w:r/>
            <w:r>
              <w:rPr>
                <w:rFonts w:ascii="Avenir Next LT Pro" w:hAnsi="Avenir Next LT Pro"/>
                <w:b w:val="0"/>
                <w:i w:val="0"/>
                <w:color w:val="1C4076"/>
                <w:sz w:val="17"/>
              </w:rPr>
              <w:t>The period starting 30 days before the publication of the annual report and/or the half-yearly interim reports and/or interim reports for Q1 and Q3, as applicable, and until the day after publication of the relevant financial report where Reporting Persons as well as persons on the Permanent Insider List are prohibited from trading in Shares.</w:t>
            </w:r>
          </w:p>
        </w:tc>
      </w:tr>
      <w:tr>
        <w:tc>
          <w:tcPr>
            <w:tcW w:type="dxa" w:w="5103"/>
          </w:tcPr>
          <w:p>
            <w:r/>
            <w:r>
              <w:rPr>
                <w:rFonts w:ascii="Avenir Next LT Pro" w:hAnsi="Avenir Next LT Pro"/>
                <w:b w:val="0"/>
                <w:i w:val="0"/>
                <w:color w:val="1C4076"/>
                <w:sz w:val="17"/>
              </w:rPr>
              <w:t>Closely Associated Person</w:t>
            </w:r>
          </w:p>
        </w:tc>
        <w:tc>
          <w:tcPr>
            <w:tcW w:type="dxa" w:w="5103"/>
          </w:tcPr>
          <w:p>
            <w:r/>
            <w:r>
              <w:rPr>
                <w:rFonts w:ascii="Avenir Next LT Pro" w:hAnsi="Avenir Next LT Pro"/>
                <w:b w:val="0"/>
                <w:i w:val="0"/>
                <w:color w:val="1C4076"/>
                <w:sz w:val="17"/>
              </w:rPr>
              <w:t>Natural or legal person with a relation to a Reporting Person as defined in Part 3 of the Internal Rules section 2.2.</w:t>
            </w:r>
          </w:p>
        </w:tc>
      </w:tr>
      <w:tr>
        <w:tc>
          <w:tcPr>
            <w:tcW w:type="dxa" w:w="5103"/>
          </w:tcPr>
          <w:p>
            <w:r/>
            <w:r>
              <w:rPr>
                <w:rFonts w:ascii="Avenir Next LT Pro" w:hAnsi="Avenir Next LT Pro"/>
                <w:b w:val="0"/>
                <w:i w:val="0"/>
                <w:color w:val="1C4076"/>
                <w:sz w:val="17"/>
              </w:rPr>
              <w:t>Company</w:t>
            </w:r>
          </w:p>
        </w:tc>
        <w:tc>
          <w:tcPr>
            <w:tcW w:type="dxa" w:w="5103"/>
          </w:tcPr>
          <w:p>
            <w:r/>
            <w:r>
              <w:rPr>
                <w:rFonts w:ascii="Avenir Next LT Pro" w:hAnsi="Avenir Next LT Pro"/>
                <w:b w:val="0"/>
                <w:i w:val="0"/>
                <w:color w:val="1C4076"/>
                <w:sz w:val="17"/>
              </w:rPr>
              <w:t>BioMar Group A/S, CVR no. 38 57 06 17.</w:t>
            </w:r>
          </w:p>
        </w:tc>
      </w:tr>
      <w:tr>
        <w:tc>
          <w:tcPr>
            <w:tcW w:type="dxa" w:w="5103"/>
          </w:tcPr>
          <w:p>
            <w:r/>
            <w:r>
              <w:rPr>
                <w:rFonts w:ascii="Avenir Next LT Pro" w:hAnsi="Avenir Next LT Pro"/>
                <w:b w:val="0"/>
                <w:i w:val="0"/>
                <w:color w:val="1C4076"/>
                <w:sz w:val="17"/>
              </w:rPr>
              <w:t>Documents</w:t>
            </w:r>
          </w:p>
        </w:tc>
        <w:tc>
          <w:tcPr>
            <w:tcW w:type="dxa" w:w="5103"/>
          </w:tcPr>
          <w:p>
            <w:r/>
            <w:r>
              <w:rPr>
                <w:rFonts w:ascii="Avenir Next LT Pro" w:hAnsi="Avenir Next LT Pro"/>
                <w:b w:val="0"/>
                <w:i w:val="0"/>
                <w:color w:val="1C4076"/>
                <w:sz w:val="17"/>
              </w:rPr>
              <w:t>Documents, letters, memoranda, emails etc. containing Inside Information.</w:t>
            </w:r>
          </w:p>
        </w:tc>
      </w:tr>
      <w:tr>
        <w:tc>
          <w:tcPr>
            <w:tcW w:type="dxa" w:w="5103"/>
          </w:tcPr>
          <w:p>
            <w:r/>
            <w:r>
              <w:rPr>
                <w:rFonts w:ascii="Avenir Next LT Pro" w:hAnsi="Avenir Next LT Pro"/>
                <w:b w:val="0"/>
                <w:i w:val="0"/>
                <w:color w:val="1C4076"/>
                <w:sz w:val="17"/>
              </w:rPr>
              <w:t>Executive Management</w:t>
            </w:r>
          </w:p>
        </w:tc>
        <w:tc>
          <w:tcPr>
            <w:tcW w:type="dxa" w:w="5103"/>
          </w:tcPr>
          <w:p>
            <w:r/>
            <w:r>
              <w:rPr>
                <w:rFonts w:ascii="Avenir Next LT Pro" w:hAnsi="Avenir Next LT Pro"/>
                <w:b w:val="0"/>
                <w:i w:val="0"/>
                <w:color w:val="1C4076"/>
                <w:sz w:val="17"/>
              </w:rPr>
              <w:t>The Executive Management of the Company and the individual members thereof as registered with the Danish Business Authority.</w:t>
            </w:r>
          </w:p>
        </w:tc>
      </w:tr>
      <w:tr>
        <w:tc>
          <w:tcPr>
            <w:tcW w:type="dxa" w:w="5103"/>
          </w:tcPr>
          <w:p>
            <w:r/>
            <w:r>
              <w:rPr>
                <w:rFonts w:ascii="Avenir Next LT Pro" w:hAnsi="Avenir Next LT Pro"/>
                <w:b w:val="0"/>
                <w:i w:val="0"/>
                <w:color w:val="1C4076"/>
                <w:sz w:val="17"/>
              </w:rPr>
              <w:t>Group</w:t>
            </w:r>
          </w:p>
        </w:tc>
        <w:tc>
          <w:tcPr>
            <w:tcW w:type="dxa" w:w="5103"/>
          </w:tcPr>
          <w:p>
            <w:r/>
            <w:r>
              <w:rPr>
                <w:rFonts w:ascii="Avenir Next LT Pro" w:hAnsi="Avenir Next LT Pro"/>
                <w:b w:val="0"/>
                <w:i w:val="0"/>
                <w:color w:val="1C4076"/>
                <w:sz w:val="17"/>
              </w:rPr>
              <w:t>The Company and its subsidiaries from time to time.</w:t>
            </w:r>
          </w:p>
        </w:tc>
      </w:tr>
      <w:tr>
        <w:tc>
          <w:tcPr>
            <w:tcW w:type="dxa" w:w="5103"/>
          </w:tcPr>
          <w:p>
            <w:r/>
            <w:r>
              <w:rPr>
                <w:rFonts w:ascii="Avenir Next LT Pro" w:hAnsi="Avenir Next LT Pro"/>
                <w:b w:val="0"/>
                <w:i w:val="0"/>
                <w:color w:val="1C4076"/>
                <w:sz w:val="17"/>
              </w:rPr>
              <w:t>Inside Information</w:t>
            </w:r>
          </w:p>
        </w:tc>
        <w:tc>
          <w:tcPr>
            <w:tcW w:type="dxa" w:w="5103"/>
          </w:tcPr>
          <w:p>
            <w:r/>
            <w:r>
              <w:rPr>
                <w:rFonts w:ascii="Avenir Next LT Pro" w:hAnsi="Avenir Next LT Pro"/>
                <w:b w:val="0"/>
                <w:i w:val="0"/>
                <w:color w:val="1C4076"/>
                <w:sz w:val="17"/>
              </w:rPr>
              <w:t>See definition in Appendix B – Definition of Inside Information.</w:t>
            </w:r>
          </w:p>
        </w:tc>
      </w:tr>
      <w:tr>
        <w:tc>
          <w:tcPr>
            <w:tcW w:type="dxa" w:w="5103"/>
          </w:tcPr>
          <w:p>
            <w:r/>
            <w:r>
              <w:rPr>
                <w:rFonts w:ascii="Avenir Next LT Pro" w:hAnsi="Avenir Next LT Pro"/>
                <w:b w:val="0"/>
                <w:i w:val="0"/>
                <w:color w:val="1C4076"/>
                <w:sz w:val="17"/>
              </w:rPr>
              <w:t>Insider List</w:t>
            </w:r>
          </w:p>
        </w:tc>
        <w:tc>
          <w:tcPr>
            <w:tcW w:type="dxa" w:w="5103"/>
          </w:tcPr>
          <w:p>
            <w:r/>
            <w:r>
              <w:rPr>
                <w:rFonts w:ascii="Avenir Next LT Pro" w:hAnsi="Avenir Next LT Pro"/>
                <w:b w:val="0"/>
                <w:i w:val="0"/>
                <w:color w:val="1C4076"/>
                <w:sz w:val="17"/>
              </w:rPr>
              <w:t>A list of persons working for the Company or group company who permanently or on an ad-hoc basis have access to Inside Information and which must be drawn up in compliance with Commission Implementing Regulation 2016/347. The Company is obliged to prepare and update the list on an on-going basis pursuant to Article 18 of the Market Abuse Regulation.</w:t>
            </w:r>
          </w:p>
        </w:tc>
      </w:tr>
      <w:tr>
        <w:tc>
          <w:tcPr>
            <w:tcW w:type="dxa" w:w="5103"/>
          </w:tcPr>
          <w:p>
            <w:r/>
            <w:r>
              <w:rPr>
                <w:rFonts w:ascii="Avenir Next LT Pro" w:hAnsi="Avenir Next LT Pro"/>
                <w:b w:val="0"/>
                <w:i w:val="0"/>
                <w:color w:val="1C4076"/>
                <w:sz w:val="17"/>
              </w:rPr>
              <w:t>Insider</w:t>
            </w:r>
          </w:p>
        </w:tc>
        <w:tc>
          <w:tcPr>
            <w:tcW w:type="dxa" w:w="5103"/>
          </w:tcPr>
          <w:p>
            <w:r/>
            <w:r>
              <w:rPr>
                <w:rFonts w:ascii="Avenir Next LT Pro" w:hAnsi="Avenir Next LT Pro"/>
                <w:b w:val="0"/>
                <w:i w:val="0"/>
                <w:color w:val="1C4076"/>
                <w:sz w:val="17"/>
              </w:rPr>
              <w:t>A person in possession of Inside Information.</w:t>
            </w:r>
          </w:p>
        </w:tc>
      </w:tr>
      <w:tr>
        <w:tc>
          <w:tcPr>
            <w:tcW w:type="dxa" w:w="5103"/>
          </w:tcPr>
          <w:p>
            <w:r/>
            <w:r>
              <w:rPr>
                <w:rFonts w:ascii="Avenir Next LT Pro" w:hAnsi="Avenir Next LT Pro"/>
                <w:b w:val="0"/>
                <w:i w:val="0"/>
                <w:color w:val="1C4076"/>
                <w:sz w:val="17"/>
              </w:rPr>
              <w:t>Market Abuse Regulation</w:t>
            </w:r>
          </w:p>
        </w:tc>
        <w:tc>
          <w:tcPr>
            <w:tcW w:type="dxa" w:w="5103"/>
          </w:tcPr>
          <w:p>
            <w:r/>
            <w:r>
              <w:rPr>
                <w:rFonts w:ascii="Avenir Next LT Pro" w:hAnsi="Avenir Next LT Pro"/>
                <w:b w:val="0"/>
                <w:i w:val="0"/>
                <w:color w:val="1C4076"/>
                <w:sz w:val="17"/>
              </w:rPr>
              <w:t>Regulation (EU) no. 596/2014 of 16 April 2014 on market abuse, as amended from time to time.</w:t>
            </w:r>
          </w:p>
        </w:tc>
      </w:tr>
      <w:tr>
        <w:tc>
          <w:tcPr>
            <w:tcW w:type="dxa" w:w="5103"/>
          </w:tcPr>
          <w:p>
            <w:r/>
            <w:r>
              <w:rPr>
                <w:rFonts w:ascii="Avenir Next LT Pro" w:hAnsi="Avenir Next LT Pro"/>
                <w:b w:val="0"/>
                <w:i w:val="0"/>
                <w:color w:val="1C4076"/>
                <w:sz w:val="17"/>
              </w:rPr>
              <w:t>Nasdaq Copenhagen</w:t>
            </w:r>
          </w:p>
        </w:tc>
        <w:tc>
          <w:tcPr>
            <w:tcW w:type="dxa" w:w="5103"/>
          </w:tcPr>
          <w:p>
            <w:r/>
            <w:r>
              <w:rPr>
                <w:rFonts w:ascii="Avenir Next LT Pro" w:hAnsi="Avenir Next LT Pro"/>
                <w:b w:val="0"/>
                <w:i w:val="0"/>
                <w:color w:val="1C4076"/>
                <w:sz w:val="17"/>
              </w:rPr>
              <w:t>Nasdaq Copenhagen A/S.</w:t>
            </w:r>
          </w:p>
        </w:tc>
      </w:tr>
      <w:tr>
        <w:tc>
          <w:tcPr>
            <w:tcW w:type="dxa" w:w="5103"/>
          </w:tcPr>
          <w:p>
            <w:r/>
            <w:r>
              <w:rPr>
                <w:rFonts w:ascii="Avenir Next LT Pro" w:hAnsi="Avenir Next LT Pro"/>
                <w:b w:val="0"/>
                <w:i w:val="0"/>
                <w:color w:val="1C4076"/>
                <w:sz w:val="17"/>
              </w:rPr>
              <w:t>Permanent Insider List</w:t>
            </w:r>
          </w:p>
        </w:tc>
        <w:tc>
          <w:tcPr>
            <w:tcW w:type="dxa" w:w="5103"/>
          </w:tcPr>
          <w:p>
            <w:r/>
            <w:r>
              <w:rPr>
                <w:rFonts w:ascii="Avenir Next LT Pro" w:hAnsi="Avenir Next LT Pro"/>
                <w:b w:val="0"/>
                <w:i w:val="0"/>
                <w:color w:val="1C4076"/>
                <w:sz w:val="17"/>
              </w:rPr>
              <w:t>An Insider List which includes those persons who, as a result of their function or position, have access at all times to all Inside Information within the Group.</w:t>
            </w:r>
          </w:p>
        </w:tc>
      </w:tr>
      <w:tr>
        <w:tc>
          <w:tcPr>
            <w:tcW w:type="dxa" w:w="5103"/>
          </w:tcPr>
          <w:p>
            <w:r/>
            <w:r>
              <w:rPr>
                <w:rFonts w:ascii="Avenir Next LT Pro" w:hAnsi="Avenir Next LT Pro"/>
                <w:b w:val="0"/>
                <w:i w:val="0"/>
                <w:color w:val="1C4076"/>
                <w:sz w:val="17"/>
              </w:rPr>
              <w:t>Reporting Persons</w:t>
            </w:r>
          </w:p>
        </w:tc>
        <w:tc>
          <w:tcPr>
            <w:tcW w:type="dxa" w:w="5103"/>
          </w:tcPr>
          <w:p>
            <w:r/>
            <w:r>
              <w:rPr>
                <w:rFonts w:ascii="Avenir Next LT Pro" w:hAnsi="Avenir Next LT Pro"/>
                <w:b w:val="0"/>
                <w:i w:val="0"/>
                <w:color w:val="1C4076"/>
                <w:sz w:val="17"/>
              </w:rPr>
              <w:t>Any member of the Board of Directors and the Executive Management.</w:t>
            </w:r>
          </w:p>
        </w:tc>
      </w:tr>
      <w:tr>
        <w:tc>
          <w:tcPr>
            <w:tcW w:type="dxa" w:w="5103"/>
          </w:tcPr>
          <w:p>
            <w:r/>
            <w:r>
              <w:rPr>
                <w:rFonts w:ascii="Avenir Next LT Pro" w:hAnsi="Avenir Next LT Pro"/>
                <w:b w:val="0"/>
                <w:i w:val="0"/>
                <w:color w:val="1C4076"/>
                <w:sz w:val="17"/>
              </w:rPr>
              <w:t>Restricted List</w:t>
            </w:r>
          </w:p>
        </w:tc>
        <w:tc>
          <w:tcPr>
            <w:tcW w:type="dxa" w:w="5103"/>
          </w:tcPr>
          <w:p>
            <w:r/>
            <w:r>
              <w:rPr>
                <w:rFonts w:ascii="Avenir Next LT Pro" w:hAnsi="Avenir Next LT Pro"/>
                <w:b w:val="0"/>
                <w:i w:val="0"/>
                <w:color w:val="1C4076"/>
                <w:sz w:val="17"/>
              </w:rPr>
              <w:t>The Company’s list of certain key employees which the Company considers may have access to Inside Information on a regular basis (but who are not considered permanent insiders).</w:t>
            </w:r>
          </w:p>
        </w:tc>
      </w:tr>
      <w:tr>
        <w:tc>
          <w:tcPr>
            <w:tcW w:type="dxa" w:w="5103"/>
          </w:tcPr>
          <w:p>
            <w:r/>
            <w:r>
              <w:rPr>
                <w:rFonts w:ascii="Avenir Next LT Pro" w:hAnsi="Avenir Next LT Pro"/>
                <w:b w:val="0"/>
                <w:i w:val="0"/>
                <w:color w:val="1C4076"/>
                <w:sz w:val="17"/>
              </w:rPr>
              <w:t>Restricted Persons</w:t>
            </w:r>
          </w:p>
        </w:tc>
        <w:tc>
          <w:tcPr>
            <w:tcW w:type="dxa" w:w="5103"/>
          </w:tcPr>
          <w:p>
            <w:r/>
            <w:r>
              <w:rPr>
                <w:rFonts w:ascii="Avenir Next LT Pro" w:hAnsi="Avenir Next LT Pro"/>
                <w:b w:val="0"/>
                <w:i w:val="0"/>
                <w:color w:val="1C4076"/>
                <w:sz w:val="17"/>
              </w:rPr>
              <w:t>Reporting Persons together with persons who are on the Restricted List.</w:t>
            </w:r>
          </w:p>
        </w:tc>
      </w:tr>
      <w:tr>
        <w:tc>
          <w:tcPr>
            <w:tcW w:type="dxa" w:w="5103"/>
          </w:tcPr>
          <w:p>
            <w:r/>
            <w:r>
              <w:rPr>
                <w:rFonts w:ascii="Avenir Next LT Pro" w:hAnsi="Avenir Next LT Pro"/>
                <w:b w:val="0"/>
                <w:i w:val="0"/>
                <w:color w:val="1C4076"/>
                <w:sz w:val="17"/>
              </w:rPr>
              <w:t>Rules for Issuers</w:t>
            </w:r>
          </w:p>
        </w:tc>
        <w:tc>
          <w:tcPr>
            <w:tcW w:type="dxa" w:w="5103"/>
          </w:tcPr>
          <w:p>
            <w:r/>
            <w:r>
              <w:rPr>
                <w:rFonts w:ascii="Avenir Next LT Pro" w:hAnsi="Avenir Next LT Pro"/>
                <w:b w:val="0"/>
                <w:i w:val="0"/>
                <w:color w:val="1C4076"/>
                <w:sz w:val="17"/>
              </w:rPr>
              <w:t>Nasdaq’s Nordic Main Market Rulebook for Issuers of Shares.</w:t>
            </w:r>
          </w:p>
        </w:tc>
      </w:tr>
      <w:tr>
        <w:tc>
          <w:tcPr>
            <w:tcW w:type="dxa" w:w="5103"/>
          </w:tcPr>
          <w:p>
            <w:r/>
            <w:r>
              <w:rPr>
                <w:rFonts w:ascii="Avenir Next LT Pro" w:hAnsi="Avenir Next LT Pro"/>
                <w:b w:val="0"/>
                <w:i w:val="0"/>
                <w:color w:val="1C4076"/>
                <w:sz w:val="17"/>
              </w:rPr>
              <w:t>Safe Harbour Rules</w:t>
            </w:r>
          </w:p>
        </w:tc>
        <w:tc>
          <w:tcPr>
            <w:tcW w:type="dxa" w:w="5103"/>
          </w:tcPr>
          <w:p>
            <w:r/>
            <w:r>
              <w:rPr>
                <w:rFonts w:ascii="Avenir Next LT Pro" w:hAnsi="Avenir Next LT Pro"/>
                <w:b w:val="0"/>
                <w:i w:val="0"/>
                <w:color w:val="1C4076"/>
                <w:sz w:val="17"/>
              </w:rPr>
              <w:t>The Market Abuse Regulation art. 5 and any regulation issued pursuant hereto.</w:t>
            </w:r>
          </w:p>
        </w:tc>
      </w:tr>
      <w:tr>
        <w:tc>
          <w:tcPr>
            <w:tcW w:type="dxa" w:w="5103"/>
          </w:tcPr>
          <w:p>
            <w:r/>
            <w:r>
              <w:rPr>
                <w:rFonts w:ascii="Avenir Next LT Pro" w:hAnsi="Avenir Next LT Pro"/>
                <w:b w:val="0"/>
                <w:i w:val="0"/>
                <w:color w:val="1C4076"/>
                <w:sz w:val="17"/>
              </w:rPr>
              <w:t>Shares</w:t>
            </w:r>
          </w:p>
        </w:tc>
        <w:tc>
          <w:tcPr>
            <w:tcW w:type="dxa" w:w="5103"/>
          </w:tcPr>
          <w:p>
            <w:r/>
            <w:r>
              <w:rPr>
                <w:rFonts w:ascii="Avenir Next LT Pro" w:hAnsi="Avenir Next LT Pro"/>
                <w:b w:val="0"/>
                <w:i w:val="0"/>
                <w:color w:val="1C4076"/>
                <w:sz w:val="17"/>
              </w:rPr>
              <w:t>Shares issued by the Company and any other financial instrument issued by the Company as defined in Article 4(1)(15) of Directive 2014/65/EU (MiFID II), including share options, subscription rights, futures and debt instruments.</w:t>
            </w:r>
          </w:p>
        </w:tc>
      </w:tr>
      <w:tr>
        <w:tc>
          <w:tcPr>
            <w:tcW w:type="dxa" w:w="5103"/>
          </w:tcPr>
          <w:p>
            <w:r/>
            <w:r>
              <w:rPr>
                <w:rFonts w:ascii="Avenir Next LT Pro" w:hAnsi="Avenir Next LT Pro"/>
                <w:b w:val="0"/>
                <w:i w:val="0"/>
                <w:color w:val="1C4076"/>
                <w:sz w:val="17"/>
              </w:rPr>
              <w:t>Trading Window</w:t>
            </w:r>
          </w:p>
        </w:tc>
        <w:tc>
          <w:tcPr>
            <w:tcW w:type="dxa" w:w="5103"/>
          </w:tcPr>
          <w:p>
            <w:r/>
            <w:r>
              <w:rPr>
                <w:rFonts w:ascii="Avenir Next LT Pro" w:hAnsi="Avenir Next LT Pro"/>
                <w:b w:val="0"/>
                <w:i w:val="0"/>
                <w:color w:val="1C4076"/>
                <w:sz w:val="17"/>
              </w:rPr>
              <w:t>The four week period following publication of the Group’s annual report and/or the half-yearly interim reports and/or interim reports for Q1 and Q3, as applicable, or the announcement of results pertaining to either such report, as applicable, on Nasdaq Copenhagen and during which dealing in Shares may, as a main rule, take place.</w:t>
            </w:r>
          </w:p>
        </w:tc>
      </w:tr>
    </w:tbl>
    <w:p>
      <w:pPr>
        <w:keepNext/>
        <w:pageBreakBefore/>
        <w:spacing w:before="260" w:after="160"/>
      </w:pPr>
      <w:r>
        <w:rPr>
          <w:rFonts w:ascii="Avenir Next LT Pro" w:hAnsi="Avenir Next LT Pro"/>
          <w:b/>
          <w:i w:val="0"/>
          <w:color w:val="1C4076"/>
          <w:sz w:val="28"/>
        </w:rPr>
        <w:t>Appendix B – Definition of Inside Information</w:t>
      </w:r>
    </w:p>
    <w:p>
      <w:pPr>
        <w:spacing w:after="200"/>
        <w:jc w:val="both"/>
      </w:pPr>
      <w:r>
        <w:rPr>
          <w:rFonts w:ascii="Avenir Next LT Pro" w:hAnsi="Avenir Next LT Pro"/>
          <w:b w:val="0"/>
          <w:i w:val="0"/>
          <w:color w:val="1C4076"/>
          <w:sz w:val="22"/>
        </w:rPr>
        <w:t xml:space="preserve">Article 7(1)(a) of the Market Abuse Regulation defines Inside Information as: </w:t>
      </w:r>
      <w:r>
        <w:rPr>
          <w:rFonts w:ascii="Avenir Next LT Pro" w:hAnsi="Avenir Next LT Pro"/>
          <w:b w:val="0"/>
          <w:i/>
          <w:color w:val="1C4076"/>
          <w:sz w:val="22"/>
        </w:rPr>
        <w:t xml:space="preserve">“information of a precise nature which has not been made public, relating, directly or indirectly, to one or more issuers or to one or more </w:t>
      </w:r>
      <w:r>
        <w:rPr>
          <w:rFonts w:ascii="Avenir Next LT Pro" w:hAnsi="Avenir Next LT Pro"/>
          <w:b w:val="0"/>
          <w:i/>
          <w:color w:val="1C4076"/>
          <w:sz w:val="22"/>
        </w:rPr>
        <w:t>financial instruments</w:t>
      </w:r>
      <w:r>
        <w:rPr>
          <w:rFonts w:ascii="Avenir Next LT Pro" w:hAnsi="Avenir Next LT Pro"/>
          <w:b w:val="0"/>
          <w:i/>
          <w:color w:val="1C4076"/>
          <w:sz w:val="22"/>
        </w:rPr>
        <w:t xml:space="preserve">, and which, if it were made public, would be likely to have a significant effect on the prices of those </w:t>
      </w:r>
      <w:r>
        <w:rPr>
          <w:rFonts w:ascii="Avenir Next LT Pro" w:hAnsi="Avenir Next LT Pro"/>
          <w:b w:val="0"/>
          <w:i/>
          <w:color w:val="1C4076"/>
          <w:sz w:val="22"/>
        </w:rPr>
        <w:t>financial instruments</w:t>
      </w:r>
      <w:r>
        <w:rPr>
          <w:rFonts w:ascii="Avenir Next LT Pro" w:hAnsi="Avenir Next LT Pro"/>
          <w:b w:val="0"/>
          <w:i/>
          <w:color w:val="1C4076"/>
          <w:sz w:val="22"/>
        </w:rPr>
        <w:t xml:space="preserve"> or on the price of related derivative </w:t>
      </w:r>
      <w:r>
        <w:rPr>
          <w:rFonts w:ascii="Avenir Next LT Pro" w:hAnsi="Avenir Next LT Pro"/>
          <w:b w:val="0"/>
          <w:i/>
          <w:color w:val="1C4076"/>
          <w:sz w:val="22"/>
        </w:rPr>
        <w:t>financial instruments</w:t>
      </w:r>
      <w:r>
        <w:rPr>
          <w:rFonts w:ascii="Avenir Next LT Pro" w:hAnsi="Avenir Next LT Pro"/>
          <w:b w:val="0"/>
          <w:i/>
          <w:color w:val="1C4076"/>
          <w:sz w:val="22"/>
        </w:rPr>
        <w:t>.”</w:t>
      </w:r>
    </w:p>
    <w:p>
      <w:pPr>
        <w:spacing w:after="200"/>
        <w:jc w:val="both"/>
      </w:pPr>
      <w:r>
        <w:rPr>
          <w:rFonts w:ascii="Avenir Next LT Pro" w:hAnsi="Avenir Next LT Pro"/>
          <w:b w:val="0"/>
          <w:i w:val="0"/>
          <w:color w:val="1C4076"/>
          <w:sz w:val="22"/>
        </w:rPr>
        <w:t>Information shall be deemed to be of “a precise nature” if it indicates a set of circumstances which exists or which may reasonably be expected to come into existence, or an event which has occurred or which may reasonably be expected to occur where it is specific enough to enable a conclusion to be drawn as to the possible effect of that set of circumstances or event on the prices of the financial instruments or the related derivate financial instrument. In the case of a protracted process that is intended to bring about, or that results in, particular circumstances or a particular event, those future circumstances or that future event, and also the intermediate steps of that process which are connected with bringing about or resulting in those future circumstances or that future event, may be deemed to be precise information.</w:t>
      </w:r>
    </w:p>
    <w:p>
      <w:pPr>
        <w:spacing w:after="200"/>
        <w:jc w:val="both"/>
      </w:pPr>
      <w:r>
        <w:rPr>
          <w:rFonts w:ascii="Avenir Next LT Pro" w:hAnsi="Avenir Next LT Pro"/>
          <w:b w:val="0"/>
          <w:i w:val="0"/>
          <w:color w:val="1C4076"/>
          <w:sz w:val="22"/>
        </w:rPr>
        <w:t>Until 5 June 2026, an intermediate step in a protracted process shall be deemed to be Inside Information if, by itself, it satisfies the criteria of Inside Information. Disclosure of such Inside Information is required once the Inside Information arises, unless the Company is able to delay disclosure.</w:t>
      </w:r>
    </w:p>
    <w:p>
      <w:pPr>
        <w:spacing w:after="200"/>
        <w:jc w:val="both"/>
      </w:pPr>
      <w:r>
        <w:rPr>
          <w:rFonts w:ascii="Avenir Next LT Pro" w:hAnsi="Avenir Next LT Pro"/>
          <w:b w:val="0"/>
          <w:i w:val="0"/>
          <w:color w:val="1C4076"/>
          <w:sz w:val="22"/>
        </w:rPr>
        <w:t>On 5 June 2026 an amendment to Article 17 of the Market Abuse Regulation enters into force. From 5 June 2026, the disclosure obligation in relation to Inside Information that arises in relation to an intermediate step in a protracted process is amended and disclosure of such Inside Information is only required once the final circumstances or final event has occurred (as opposed to once the Inside Information arises), provided that confidentiality is ensured.</w:t>
      </w:r>
    </w:p>
    <w:p>
      <w:pPr>
        <w:spacing w:after="200"/>
        <w:jc w:val="both"/>
      </w:pPr>
      <w:r>
        <w:rPr>
          <w:rFonts w:ascii="Avenir Next LT Pro" w:hAnsi="Avenir Next LT Pro"/>
          <w:b w:val="0"/>
          <w:i w:val="0"/>
          <w:color w:val="1C4076"/>
          <w:sz w:val="22"/>
        </w:rPr>
        <w:t>Information which, if it were made public, would be likely to have a significant effect on the prices of Shares etc. shall mean information a reasonable investor would be likely to use as part of the basis of his or her investment decisions.</w:t>
      </w:r>
    </w:p>
    <w:p>
      <w:pPr>
        <w:spacing w:after="200"/>
        <w:jc w:val="both"/>
      </w:pPr>
      <w:r>
        <w:rPr>
          <w:rFonts w:ascii="Avenir Next LT Pro" w:hAnsi="Avenir Next LT Pro"/>
          <w:b w:val="0"/>
          <w:i w:val="0"/>
          <w:color w:val="1C4076"/>
          <w:sz w:val="22"/>
        </w:rPr>
        <w:t>The nature of the information that may be deemed Inside Information is not set out in the legislation. Below are examples of circumstances which, depending on the circumstances, may be considered Inside Information:</w:t>
      </w:r>
    </w:p>
    <w:p>
      <w:pPr>
        <w:pStyle w:val="ListBullet"/>
        <w:spacing w:after="80"/>
      </w:pPr>
      <w:r>
        <w:rPr>
          <w:rFonts w:ascii="Avenir Next LT Pro" w:hAnsi="Avenir Next LT Pro"/>
          <w:b w:val="0"/>
          <w:i w:val="0"/>
          <w:color w:val="1C4076"/>
          <w:sz w:val="22"/>
        </w:rPr>
        <w:t>Major expansions or reductions in the Company’s activities.</w:t>
      </w:r>
    </w:p>
    <w:p>
      <w:pPr>
        <w:pStyle w:val="ListBullet"/>
        <w:spacing w:after="80"/>
      </w:pPr>
      <w:r>
        <w:rPr>
          <w:rFonts w:ascii="Avenir Next LT Pro" w:hAnsi="Avenir Next LT Pro"/>
          <w:b w:val="0"/>
          <w:i w:val="0"/>
          <w:color w:val="1C4076"/>
          <w:sz w:val="22"/>
        </w:rPr>
        <w:t>Acquisition or sale of material companies/subsidiaries or fixed assets.</w:t>
      </w:r>
    </w:p>
    <w:p>
      <w:pPr>
        <w:pStyle w:val="ListBullet"/>
        <w:spacing w:after="80"/>
      </w:pPr>
      <w:r>
        <w:rPr>
          <w:rFonts w:ascii="Avenir Next LT Pro" w:hAnsi="Avenir Next LT Pro"/>
          <w:b w:val="0"/>
          <w:i w:val="0"/>
          <w:color w:val="1C4076"/>
          <w:sz w:val="22"/>
        </w:rPr>
        <w:t>Changes to financial guidance previously communicated to the market.</w:t>
      </w:r>
    </w:p>
    <w:p>
      <w:pPr>
        <w:pStyle w:val="ListBullet"/>
        <w:spacing w:after="80"/>
      </w:pPr>
      <w:r>
        <w:rPr>
          <w:rFonts w:ascii="Avenir Next LT Pro" w:hAnsi="Avenir Next LT Pro"/>
          <w:b w:val="0"/>
          <w:i w:val="0"/>
          <w:color w:val="1C4076"/>
          <w:sz w:val="22"/>
        </w:rPr>
        <w:t>Financial results outside previously communicated guidance.</w:t>
      </w:r>
    </w:p>
    <w:p>
      <w:pPr>
        <w:pStyle w:val="ListBullet"/>
        <w:spacing w:after="80"/>
      </w:pPr>
      <w:r>
        <w:rPr>
          <w:rFonts w:ascii="Avenir Next LT Pro" w:hAnsi="Avenir Next LT Pro"/>
          <w:b w:val="0"/>
          <w:i w:val="0"/>
          <w:color w:val="1C4076"/>
          <w:sz w:val="22"/>
        </w:rPr>
        <w:t>Material amendments to the Company’s strategy plan.</w:t>
      </w:r>
    </w:p>
    <w:p>
      <w:pPr>
        <w:pStyle w:val="ListBullet"/>
        <w:spacing w:after="80"/>
      </w:pPr>
      <w:r>
        <w:rPr>
          <w:rFonts w:ascii="Avenir Next LT Pro" w:hAnsi="Avenir Next LT Pro"/>
          <w:b w:val="0"/>
          <w:i w:val="0"/>
          <w:color w:val="1C4076"/>
          <w:sz w:val="22"/>
        </w:rPr>
        <w:t>Appointment and dismissal of the CEO and changes to the Chair of the Board of Directors.</w:t>
      </w:r>
    </w:p>
    <w:p>
      <w:pPr>
        <w:pStyle w:val="ListBullet"/>
        <w:spacing w:after="80"/>
      </w:pPr>
      <w:r>
        <w:rPr>
          <w:rFonts w:ascii="Avenir Next LT Pro" w:hAnsi="Avenir Next LT Pro"/>
          <w:b w:val="0"/>
          <w:i w:val="0"/>
          <w:color w:val="1C4076"/>
          <w:sz w:val="22"/>
        </w:rPr>
        <w:t>Entering into or termination of major contracts of a material size or strategic significance.</w:t>
      </w:r>
    </w:p>
    <w:p>
      <w:pPr>
        <w:pStyle w:val="ListBullet"/>
        <w:spacing w:after="80"/>
      </w:pPr>
      <w:r>
        <w:rPr>
          <w:rFonts w:ascii="Avenir Next LT Pro" w:hAnsi="Avenir Next LT Pro"/>
          <w:b w:val="0"/>
          <w:i w:val="0"/>
          <w:color w:val="1C4076"/>
          <w:sz w:val="22"/>
        </w:rPr>
        <w:t>Decisions regarding large investments.</w:t>
      </w:r>
    </w:p>
    <w:p>
      <w:pPr>
        <w:pStyle w:val="ListBullet"/>
        <w:spacing w:after="80"/>
      </w:pPr>
      <w:r>
        <w:rPr>
          <w:rFonts w:ascii="Avenir Next LT Pro" w:hAnsi="Avenir Next LT Pro"/>
          <w:b w:val="0"/>
          <w:i w:val="0"/>
          <w:color w:val="1C4076"/>
          <w:sz w:val="22"/>
        </w:rPr>
        <w:t>Entering into or termination of major cooperation agreements, including agreements regarding joint ventures.</w:t>
      </w:r>
    </w:p>
    <w:p>
      <w:pPr>
        <w:pStyle w:val="ListBullet"/>
        <w:spacing w:after="80"/>
      </w:pPr>
      <w:r>
        <w:rPr>
          <w:rFonts w:ascii="Avenir Next LT Pro" w:hAnsi="Avenir Next LT Pro"/>
          <w:b w:val="0"/>
          <w:i w:val="0"/>
          <w:color w:val="1C4076"/>
          <w:sz w:val="22"/>
        </w:rPr>
        <w:t>Significant changes in earnings or liquidity or other material matters that have or may have an effect thereon.</w:t>
      </w:r>
    </w:p>
    <w:p>
      <w:pPr>
        <w:pStyle w:val="ListBullet"/>
        <w:spacing w:after="80"/>
      </w:pPr>
      <w:r>
        <w:rPr>
          <w:rFonts w:ascii="Avenir Next LT Pro" w:hAnsi="Avenir Next LT Pro"/>
          <w:b w:val="0"/>
          <w:i w:val="0"/>
          <w:color w:val="1C4076"/>
          <w:sz w:val="22"/>
        </w:rPr>
        <w:t>Market fluctuations of special significance for the Company.</w:t>
      </w:r>
    </w:p>
    <w:p>
      <w:pPr>
        <w:pStyle w:val="ListBullet"/>
        <w:spacing w:after="80"/>
      </w:pPr>
      <w:r>
        <w:rPr>
          <w:rFonts w:ascii="Avenir Next LT Pro" w:hAnsi="Avenir Next LT Pro"/>
          <w:b w:val="0"/>
          <w:i w:val="0"/>
          <w:color w:val="1C4076"/>
          <w:sz w:val="22"/>
        </w:rPr>
        <w:t>Transfer of a major shareholding in the Company or the intention to acquire or sell among major shareholders, which the Board of Directors or the Executive Management are involved in or have knowledge of.</w:t>
      </w:r>
    </w:p>
    <w:p>
      <w:pPr>
        <w:pStyle w:val="ListBullet"/>
        <w:spacing w:after="80"/>
      </w:pPr>
      <w:r>
        <w:rPr>
          <w:rFonts w:ascii="Avenir Next LT Pro" w:hAnsi="Avenir Next LT Pro"/>
          <w:b w:val="0"/>
          <w:i w:val="0"/>
          <w:color w:val="1C4076"/>
          <w:sz w:val="22"/>
        </w:rPr>
        <w:t>Submission of acquisition offers or public takeover offers.</w:t>
      </w:r>
    </w:p>
    <w:p>
      <w:pPr>
        <w:pStyle w:val="ListBullet"/>
        <w:spacing w:after="80"/>
      </w:pPr>
      <w:r>
        <w:rPr>
          <w:rFonts w:ascii="Avenir Next LT Pro" w:hAnsi="Avenir Next LT Pro"/>
          <w:b w:val="0"/>
          <w:i w:val="0"/>
          <w:color w:val="1C4076"/>
          <w:sz w:val="22"/>
        </w:rPr>
        <w:t>Initiation or settlement of material law suits initiated by or against the Company or corresponding material claims.</w:t>
      </w:r>
    </w:p>
    <w:p>
      <w:pPr>
        <w:pStyle w:val="ListBullet"/>
        <w:spacing w:after="80"/>
      </w:pPr>
      <w:r>
        <w:rPr>
          <w:rFonts w:ascii="Avenir Next LT Pro" w:hAnsi="Avenir Next LT Pro"/>
          <w:b w:val="0"/>
          <w:i w:val="0"/>
          <w:color w:val="1C4076"/>
          <w:sz w:val="22"/>
        </w:rPr>
        <w:t>Decisions of material significance made by public authorities or courts.</w:t>
      </w:r>
    </w:p>
    <w:p>
      <w:pPr>
        <w:pStyle w:val="ListBullet"/>
        <w:spacing w:after="80"/>
      </w:pPr>
      <w:r>
        <w:rPr>
          <w:rFonts w:ascii="Avenir Next LT Pro" w:hAnsi="Avenir Next LT Pro"/>
          <w:b w:val="0"/>
          <w:i w:val="0"/>
          <w:color w:val="1C4076"/>
          <w:sz w:val="22"/>
        </w:rPr>
        <w:t>Proposals for capital decreases or capital increases as well as any other material proposed amendments of the articles of association.</w:t>
      </w:r>
    </w:p>
    <w:p>
      <w:pPr>
        <w:pStyle w:val="ListBullet"/>
        <w:spacing w:after="80"/>
      </w:pPr>
      <w:r>
        <w:rPr>
          <w:rFonts w:ascii="Avenir Next LT Pro" w:hAnsi="Avenir Next LT Pro"/>
          <w:b w:val="0"/>
          <w:i w:val="0"/>
          <w:color w:val="1C4076"/>
          <w:sz w:val="22"/>
        </w:rPr>
        <w:t>Proposals for extraordinary dividend payments as well as the introduction of share buy-back programs.</w:t>
      </w:r>
    </w:p>
    <w:p>
      <w:pPr>
        <w:pStyle w:val="ListBullet"/>
        <w:spacing w:after="80"/>
      </w:pPr>
      <w:r>
        <w:rPr>
          <w:rFonts w:ascii="Avenir Next LT Pro" w:hAnsi="Avenir Next LT Pro"/>
          <w:b w:val="0"/>
          <w:i w:val="0"/>
          <w:color w:val="1C4076"/>
          <w:sz w:val="22"/>
        </w:rPr>
        <w:t>Material organisational or structural changes to the Company, including, but not limited to, mergers, demergers, dissolution or reconstruction arrangements or other significant changes to the business or capital structures including suspension of payments, bankruptcy or liquidation.</w:t>
      </w:r>
    </w:p>
    <w:p>
      <w:pPr>
        <w:pStyle w:val="ListBullet"/>
        <w:spacing w:after="80"/>
      </w:pPr>
      <w:r>
        <w:rPr>
          <w:rFonts w:ascii="Avenir Next LT Pro" w:hAnsi="Avenir Next LT Pro"/>
          <w:b w:val="0"/>
          <w:i w:val="0"/>
          <w:color w:val="1C4076"/>
          <w:sz w:val="22"/>
        </w:rPr>
        <w:t>Shareholders’ agreements which the Company obtains knowledge of concerning application of voting rights or the transferability of the Shares or other Shares linked thereto.</w:t>
      </w:r>
    </w:p>
    <w:p>
      <w:pPr>
        <w:pStyle w:val="ListBullet"/>
        <w:spacing w:after="80"/>
      </w:pPr>
      <w:r>
        <w:rPr>
          <w:rFonts w:ascii="Avenir Next LT Pro" w:hAnsi="Avenir Next LT Pro"/>
          <w:b w:val="0"/>
          <w:i w:val="0"/>
          <w:color w:val="1C4076"/>
          <w:sz w:val="22"/>
        </w:rPr>
        <w:t>Information regarding similar material circumstances in material subsidiaries.</w:t>
      </w:r>
    </w:p>
    <w:p>
      <w:pPr>
        <w:spacing w:after="200"/>
        <w:jc w:val="both"/>
      </w:pPr>
      <w:r>
        <w:rPr>
          <w:rFonts w:ascii="Avenir Next LT Pro" w:hAnsi="Avenir Next LT Pro"/>
          <w:b w:val="0"/>
          <w:i w:val="0"/>
          <w:color w:val="1C4076"/>
          <w:sz w:val="22"/>
        </w:rPr>
        <w:t>The above items are not listed in any particular order, and they are only to be considered as guiding examples, and the list is not exhaustive. Knowledge of other circumstances may also constitute Inside Information, if such information is specific and, if it were made public, would be likely to have a significant effect on the prices of Shares.</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Internal Rules for Handling of Inside Information and Trading in Shares</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