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t>1. Adhere to global human rights standards</w:t>
      </w:r>
    </w:p>
    <w:p>
      <w:r>
        <w:t>2. Ensure a robust due diligence</w:t>
      </w:r>
    </w:p>
    <w:p>
      <w:r>
        <w:t>3. Provide access to grievance and remedy</w:t>
      </w:r>
    </w:p>
    <w:p>
      <w:pPr>
        <w:pStyle w:val="Heading1"/>
      </w:pPr>
      <w:r>
        <w:t>Principle 1: Adhere to global human rights standards</w:t>
      </w:r>
    </w:p>
    <w:p>
      <w: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r>
        <w:t>1. Occupational health and safety</w:t>
      </w:r>
    </w:p>
    <w:p>
      <w:r>
        <w:t>2. Labour conditions for our employees and in the value chain</w:t>
      </w:r>
    </w:p>
    <w:p>
      <w:r>
        <w:t>3. Community rights, including indigenous communities</w:t>
      </w:r>
    </w:p>
    <w:p>
      <w:r>
        <w:t>4. Protection of whistleblowers and access to effective remedy</w:t>
      </w:r>
    </w:p>
    <w:p>
      <w: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t>These commitments are reflected in our Human Rights Policy and further supported by the associated policies detailed at the end of this document.</w:t>
      </w:r>
    </w:p>
    <w:p>
      <w: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Principle 2: Ensure a robust due diligence</w:t>
      </w:r>
    </w:p>
    <w:p>
      <w: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t>By maintaining a structured and proactive approach, we seek to foster responsible business conduct that respects human and labour rights.</w:t>
      </w:r>
    </w:p>
    <w:p>
      <w:pPr>
        <w:pStyle w:val="Heading1"/>
      </w:pPr>
      <w:r>
        <w:t>Principle 3: Provide access to grievance and remedy</w:t>
      </w:r>
    </w:p>
    <w:p>
      <w: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Governance and related policies</w:t>
      </w:r>
    </w:p>
    <w:p>
      <w:r>
        <w:t>Governance and oversight of our human rights commitments are embedded across BioMar’s operations.</w:t>
      </w:r>
    </w:p>
    <w:p>
      <w: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t>The Human Rights Policy applies to all BioMar companies, including our joint-ventures and is integrated into our broader governance framework. Our Managing Directors are responsible for the implementation in the subsidiaries.</w:t>
      </w:r>
    </w:p>
    <w:p>
      <w:r>
        <w:t>We regularly review the policy and its implementation to ensure alignment with evolving international standards, stakeholder expectations and lessons learned from our due diligence and grievance processes.</w:t>
      </w:r>
    </w:p>
    <w:p>
      <w: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