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Requisitos legales</w:t>
      </w:r>
    </w:p>
    <w:p>
      <w:r>
        <w:t>Todas las pesquerías de origen deben pasar la Metodología</w:t>
      </w:r>
    </w:p>
    <w:p>
      <w:r>
        <w:t>de Evaluación de la Debida Diligencia de BioMar (BioMar</w:t>
      </w:r>
    </w:p>
    <w:p>
      <w:r>
        <w:t>DD) para</w:t>
      </w:r>
    </w:p>
    <w:p>
      <w:r>
        <w:t>ingredientes marinos, estar</w:t>
      </w:r>
    </w:p>
    <w:p>
      <w:r>
        <w:t>inscritas en un</w:t>
      </w:r>
    </w:p>
    <w:p>
      <w:r>
        <w:t>Proyecto de Mejora de Pesquerías, o estar certificadas</w:t>
      </w:r>
    </w:p>
    <w:p>
      <w:r>
        <w:t>según un ISEAL (actualmente MarinTrust o MSC). Nosotros</w:t>
      </w:r>
    </w:p>
    <w:p>
      <w:r>
        <w:t>nos comprometemos a abastecernos de</w:t>
      </w:r>
    </w:p>
    <w:p>
      <w:r>
        <w:t>ingredientes</w:t>
      </w:r>
    </w:p>
    <w:p>
      <w:r>
        <w:t>marinos procedentes de piscofactorías administradas por</w:t>
      </w:r>
    </w:p>
    <w:p>
      <w:r>
        <w:t>organizaciones científicas de pesca (por ejemplo, IMR, ICES,</w:t>
      </w:r>
    </w:p>
    <w:p>
      <w:r>
        <w:t>FAO, IMARPE, SERNAPESCA) siempre que sea posible. Todas</w:t>
      </w:r>
    </w:p>
    <w:p>
      <w:r>
        <w:t>las pesquerías, instalaciones de producción e instalaciones</w:t>
      </w:r>
    </w:p>
    <w:p>
      <w:r>
        <w:t>de almacenamiento/transporte que suministran ingredientes</w:t>
      </w:r>
    </w:p>
    <w:p>
      <w:r>
        <w:t>marinos deben cumplir con las leyes y reglamentos del país</w:t>
      </w:r>
    </w:p>
    <w:p>
      <w:r>
        <w:t>de producción y del país de destino.</w:t>
      </w:r>
    </w:p>
    <w:p>
      <w:r>
        <w:t>Ningún ingrediente marino debe proceder de pesquerías</w:t>
      </w:r>
    </w:p>
    <w:p>
      <w:r>
        <w:t>IUU o de especies clasificadas como en peligro de extinción</w:t>
      </w:r>
    </w:p>
    <w:p>
      <w:r>
        <w:t>o en peligro crítico de extinción en la Lista Roja de la UICN</w:t>
      </w:r>
    </w:p>
    <w:p>
      <w:r>
        <w:t>o incluidas en cualquier apéndice CITES. Esperamos que se</w:t>
      </w:r>
    </w:p>
    <w:p>
      <w:r>
        <w:t>tomen todas las medidas posibles para gestionar y minimizar</w:t>
      </w:r>
    </w:p>
    <w:p>
      <w:r>
        <w:t>las capturas accidentales incluyendo acciones específicas</w:t>
      </w:r>
    </w:p>
    <w:p>
      <w:r>
        <w:t>para proteger las poblaciones vulnerables. Además, no se</w:t>
      </w:r>
    </w:p>
    <w:p>
      <w:r>
        <w:t>permite ninguna práctica de transporte ilegal.</w:t>
      </w:r>
    </w:p>
    <w:p>
      <w:r>
        <w:t>Cualquier incumplimiento de los requisitos anteriores debido</w:t>
      </w:r>
    </w:p>
    <w:p>
      <w:r>
        <w:t>a una negligencia grave se considerará un incumplimiento</w:t>
      </w:r>
    </w:p>
    <w:p>
      <w:r>
        <w:t>del contrato.</w:t>
      </w:r>
    </w:p>
    <w:p>
      <w:pPr>
        <w:pStyle w:val="Heading1"/>
      </w:pPr>
      <w:r>
        <w:t>Uso sustentable de los ingredientes marinos</w:t>
      </w:r>
    </w:p>
    <w:p>
      <w:r>
        <w:t>Los retazos y subproductos son una parte muy importante</w:t>
      </w:r>
    </w:p>
    <w:p>
      <w:r>
        <w:t>de la estrategia circular y renovable de BioMar de cara a</w:t>
      </w:r>
    </w:p>
    <w:p>
      <w:r>
        <w:t>2030, y estamos aumentando continuamente la inclusión</w:t>
      </w:r>
    </w:p>
    <w:p>
      <w:r>
        <w:t>de ingredientes marinos circulares. La ambición de BioMar</w:t>
      </w:r>
    </w:p>
    <w:p>
      <w:r>
        <w:t>es obtener el 100% de nuestros ingredientes marinos de</w:t>
      </w:r>
    </w:p>
    <w:p>
      <w:r>
        <w:t>acuerdo con la pesca responsable mencionada anteriormente</w:t>
      </w:r>
    </w:p>
    <w:p>
      <w:r>
        <w:t>para 2030, y al mismo tiempo demostrar una mejora continua</w:t>
      </w:r>
    </w:p>
    <w:p>
      <w:r>
        <w:t>en comparación con la línea de base de 2020 para todas las</w:t>
      </w:r>
    </w:p>
    <w:p>
      <w:r>
        <w:t>unidades.</w:t>
      </w:r>
    </w:p>
    <w:p>
      <w:pPr>
        <w:pStyle w:val="Heading1"/>
      </w:pPr>
      <w:r>
        <w:t>Verificación de la trazabilidad</w:t>
      </w:r>
    </w:p>
    <w:p>
      <w:r>
        <w:t>Los proveedores deben presentar niveles de inclusión</w:t>
      </w:r>
    </w:p>
    <w:p>
      <w:r>
        <w:t>de especies con el porcentaje de división, las principales</w:t>
      </w:r>
    </w:p>
    <w:p>
      <w:r>
        <w:t>capturas de la FAO y subzona, tipo de arte de pesca, país de</w:t>
      </w:r>
    </w:p>
    <w:p>
      <w:r>
        <w:t>desembarco y el nivel de certificación para cada entrega de</w:t>
      </w:r>
    </w:p>
    <w:p>
      <w:r>
        <w:t>ingredientes marinos a BioMar. Además, el nombre de las</w:t>
      </w:r>
    </w:p>
    <w:p>
      <w:r>
        <w:t>especies debe figurar el nombre científico (en latín) y cada</w:t>
      </w:r>
    </w:p>
    <w:p>
      <w:r>
        <w:t>volumen debe declararse que procede de pescado entero o</w:t>
      </w:r>
    </w:p>
    <w:p>
      <w:r>
        <w:t>de retazos/ subproductos. Para los proveedores que declaren</w:t>
      </w:r>
    </w:p>
    <w:p>
      <w:r>
        <w:t>volúmenes MSC, deben aparecer también la piscifactoría y</w:t>
      </w:r>
    </w:p>
    <w:p>
      <w:r>
        <w:t>el número de certificado del MSC. Todos los productores de</w:t>
      </w:r>
    </w:p>
    <w:p>
      <w:r>
        <w:t>ingredientes marinos deben presentar documentación que</w:t>
      </w:r>
    </w:p>
    <w:p>
      <w:r>
        <w:t>demuestre que las capturas desembarcadas no proceden de</w:t>
      </w:r>
    </w:p>
    <w:p>
      <w:r>
        <w:t>la pesca IUU.</w:t>
      </w:r>
    </w:p>
    <w:p>
      <w:r>
        <w:t>Si el proveedor de BioMar de</w:t>
      </w:r>
    </w:p>
    <w:p>
      <w:r>
        <w:t>ingredientes marinos</w:t>
      </w:r>
    </w:p>
    <w:p>
      <w:r>
        <w:t>certificados es diferente del productor, el proveedor debe</w:t>
      </w:r>
    </w:p>
    <w:p>
      <w:r>
        <w:t>tener una Cadena de Custodia MarinTrust/MSC o un sistema</w:t>
      </w:r>
    </w:p>
    <w:p>
      <w:r>
        <w:t>de trazabilidad</w:t>
      </w:r>
    </w:p>
    <w:p>
      <w:r>
        <w:t>Reconocemos que no todos los proveedores tienen este</w:t>
      </w:r>
    </w:p>
    <w:p>
      <w:r>
        <w:t>BioMar se compromete a obtener ingredientes marinos que</w:t>
      </w:r>
    </w:p>
    <w:p>
      <w:r>
        <w:t>nivel de trazabilidad en el momento de la publicación. Para</w:t>
      </w:r>
    </w:p>
    <w:p>
      <w:r>
        <w:t>pueden ser certificados y verificados como sustentables.</w:t>
      </w:r>
    </w:p>
    <w:p>
      <w:r>
        <w:t>los proveedores que no puedan proporcionar este nivel</w:t>
      </w:r>
    </w:p>
    <w:p>
      <w:r>
        <w:t>Reconocemos la necesidad global de aumentar la cantidad de</w:t>
      </w:r>
    </w:p>
    <w:p>
      <w:r>
        <w:t>de detalle, se permitirá un período de transición desde</w:t>
      </w:r>
    </w:p>
    <w:p>
      <w:r>
        <w:t>material certificado procedente de pesquerías responsables</w:t>
      </w:r>
    </w:p>
    <w:p>
      <w:r>
        <w:t>el momento de la publicación hasta finales 2022. Nos</w:t>
      </w:r>
    </w:p>
    <w:p>
      <w:r>
        <w:t>y por ello participamos activamente en programas de mejora</w:t>
      </w:r>
    </w:p>
    <w:p>
      <w:r>
        <w:t>comprometemos a garantizar un alto nivel de gobernanza</w:t>
      </w:r>
    </w:p>
    <w:p>
      <w:r>
        <w:t>de la pesca.</w:t>
      </w:r>
    </w:p>
    <w:p>
      <w:r>
        <w:t>en materia de trazabilidad y hemos incluido metodologías</w:t>
      </w:r>
    </w:p>
    <w:p>
      <w:r>
        <w:t>científicas para apoyarlo..</w:t>
      </w:r>
    </w:p>
    <w:p>
      <w:r>
        <w:t>BioMar se compromete a obtener anualmente al menos el 80</w:t>
      </w:r>
    </w:p>
    <w:p>
      <w:r>
        <w:t>% de nuestros ingredientes marinos de MSC, MarinTrust, FIP’s</w:t>
      </w:r>
    </w:p>
    <w:p>
      <w:r>
        <w:t>con avance reciente basado en una metodología validada</w:t>
      </w:r>
    </w:p>
    <w:p>
      <w:r>
        <w:t>(Sustainable Fisheries Partnership o MarinTrust), o recortes</w:t>
      </w:r>
    </w:p>
    <w:p>
      <w:r>
        <w:t>y subproductos que cumplan con la normativa de la familia</w:t>
      </w:r>
    </w:p>
    <w:p>
      <w:r>
        <w:t>ASC.</w:t>
      </w:r>
    </w:p>
    <w:p>
      <w:r>
        <w:t>Este documento ha sido traducido a otros idiomas. En caso de duda, prevalece la versión inglesa actual. Versión 1. 25-02-2022</w:t>
      </w:r>
    </w:p>
    <w:p>
      <w:pPr>
        <w:pStyle w:val="Heading1"/>
      </w:pPr>
      <w:r>
        <w:t>Lista de definiciones</w:t>
      </w:r>
    </w:p>
    <w:p>
      <w:pPr>
        <w:pStyle w:val="Heading1"/>
      </w:pPr>
      <w:r>
        <w:t>Referencias</w:t>
      </w:r>
    </w:p>
    <w:p>
      <w:r>
        <w:t>ASC</w:t>
      </w:r>
    </w:p>
    <w:p>
      <w:r>
        <w:t>Internas</w:t>
      </w:r>
    </w:p>
    <w:p>
      <w:r>
        <w:t>Consejo de Administración de la Acuicultura</w:t>
      </w:r>
    </w:p>
    <w:p>
      <w:r>
        <w:t>Código de Conducta para Proveedores del Grupo BioMar</w:t>
      </w:r>
    </w:p>
    <w:p>
      <w:r>
        <w:t>BAP</w:t>
      </w:r>
    </w:p>
    <w:p>
      <w:r>
        <w:t>Declaración de posicionamiento de los Ingredientes Marinos del</w:t>
      </w:r>
    </w:p>
    <w:p>
      <w:r>
        <w:t>Mejores Prácticas de Acuicultura</w:t>
      </w:r>
    </w:p>
    <w:p>
      <w:r>
        <w:t>Grupo BioMar</w:t>
      </w:r>
    </w:p>
    <w:p>
      <w:r>
        <w:t>CITES</w:t>
      </w:r>
    </w:p>
    <w:p>
      <w:r>
        <w:t>Política de Suministro Responsable del Grupo BioMar</w:t>
      </w:r>
    </w:p>
    <w:p>
      <w:r>
        <w:t>La Convención sobre el Comercio Internacional de Especies</w:t>
      </w:r>
    </w:p>
    <w:p>
      <w:r>
        <w:t>Amenazadas de Fauna y Flora Silvestres (cites.org)</w:t>
      </w:r>
    </w:p>
    <w:p>
      <w:r>
        <w:t>Informe de Sustentabilidad del Grupo BioMar</w:t>
      </w:r>
    </w:p>
    <w:p>
      <w:r>
        <w:t>FAO</w:t>
      </w:r>
    </w:p>
    <w:p>
      <w:r>
        <w:t>Organización de las Naciones Unidas para la Agricultura y la</w:t>
      </w:r>
    </w:p>
    <w:p>
      <w:r>
        <w:t>Alimentación</w:t>
      </w:r>
    </w:p>
    <w:p>
      <w:r>
        <w:t>Código de conducta para la pesca responsable - Edición especial</w:t>
      </w:r>
    </w:p>
    <w:p>
      <w:r>
        <w:t>(fao.org)</w:t>
      </w:r>
    </w:p>
    <w:p>
      <w:r>
        <w:t>FIP</w:t>
      </w:r>
    </w:p>
    <w:p>
      <w:r>
        <w:t>Externas</w:t>
      </w:r>
    </w:p>
    <w:p>
      <w:r>
        <w:t>Normas del sector de la acuicultura</w:t>
      </w:r>
    </w:p>
    <w:p>
      <w:r>
        <w:t>Consejo de Administración de la Acuicultura (ASC)</w:t>
      </w:r>
    </w:p>
    <w:p>
      <w:pPr>
        <w:pStyle w:val="ListBullet"/>
      </w:pPr>
      <w:r>
        <w:t>Mejores Prácticas de Acuicultura (BAP)</w:t>
      </w:r>
    </w:p>
    <w:p>
      <w:r>
        <w:t>Proyecto de Mejora de la Pesca</w:t>
      </w:r>
    </w:p>
    <w:p>
      <w:pPr>
        <w:pStyle w:val="ListBullet"/>
      </w:pPr>
      <w:r>
        <w:t>MarinTrust</w:t>
      </w:r>
    </w:p>
    <w:p>
      <w:r>
        <w:t>Global G.A.P.</w:t>
      </w:r>
    </w:p>
    <w:p>
      <w:r>
        <w:t>Buenas Prácticas Agrícolas Mundiales</w:t>
      </w:r>
    </w:p>
    <w:p>
      <w:r>
        <w:t>ICES</w:t>
      </w:r>
    </w:p>
    <w:p>
      <w:r>
        <w:t>Consejo de Administración Marina (MSC)</w:t>
      </w:r>
    </w:p>
    <w:p>
      <w:r>
        <w:t>Buenas Prácticas Agrícolas Globales (G.A.P)</w:t>
      </w:r>
    </w:p>
    <w:p>
      <w:r>
        <w:t>Consejo Internacional para la Exploración del Mar</w:t>
      </w:r>
    </w:p>
    <w:p>
      <w:r>
        <w:t>El Servicio Nacional de Pesca (SERNAPESCA)</w:t>
      </w:r>
    </w:p>
    <w:p>
      <w:r>
        <w:t>ISEAL</w:t>
      </w:r>
    </w:p>
    <w:p>
      <w:r>
        <w:t>Organización de las Naciones Unidas para la Agricultura y la</w:t>
      </w:r>
    </w:p>
    <w:p>
      <w:r>
        <w:t>Acreditación y Etiquetado Social y Medioambiental Internacional</w:t>
      </w:r>
    </w:p>
    <w:p>
      <w:r>
        <w:t>Alimentación (FAO)</w:t>
      </w:r>
    </w:p>
    <w:p>
      <w:r>
        <w:t>IMARPE</w:t>
      </w:r>
    </w:p>
    <w:p>
      <w:r>
        <w:t>Instituto del Mar del Perú</w:t>
      </w:r>
    </w:p>
    <w:p>
      <w:r>
        <w:t>IMR</w:t>
      </w:r>
    </w:p>
    <w:p>
      <w:r>
        <w:t>Instituto de Investigación Marina</w:t>
      </w:r>
    </w:p>
    <w:p>
      <w:r>
        <w:t>MSC</w:t>
      </w:r>
    </w:p>
    <w:p>
      <w:r>
        <w:t>Consejo de Administración Marina</w:t>
      </w:r>
    </w:p>
    <w:p>
      <w:r>
        <w:t>UICN</w:t>
      </w:r>
    </w:p>
    <w:p>
      <w:r>
        <w:t>Unión Internacional para la Conservación de la Naturaleza</w:t>
      </w:r>
    </w:p>
    <w:p>
      <w:r>
        <w:t>Lista Roja de Especies Amenazadas de la UICN</w:t>
      </w:r>
    </w:p>
    <w:p>
      <w:r>
        <w:t>IUU</w:t>
      </w:r>
    </w:p>
    <w:p>
      <w:r>
        <w:t>Ilegal, no declarada y no regulada</w:t>
      </w:r>
    </w:p>
    <w:p>
      <w:r>
        <w:t>SERNAPESCA</w:t>
      </w:r>
    </w:p>
    <w:p>
      <w:r>
        <w:t>El Servicio Nacional de Pesca</w:t>
      </w:r>
    </w:p>
    <w:p>
      <w:r>
        <w:t>Instituto de Investigaciones Marinas (IMR)</w:t>
      </w:r>
    </w:p>
    <w:p>
      <w:r>
        <w:t>Consejo Internacional para la Exploración del Mar (CIEM)</w:t>
      </w:r>
    </w:p>
    <w:p>
      <w:r>
        <w:t>Acreditación y Etiquetado Social y Ambiental Internacional</w:t>
      </w:r>
    </w:p>
    <w:p>
      <w:r>
        <w:t>(ISEAL)</w:t>
      </w:r>
    </w:p>
    <w:p>
      <w:r>
        <w:t>La Convención sobre el Comercio Internacional de Especies</w:t>
      </w:r>
    </w:p>
    <w:p>
      <w:r>
        <w:t>Amenazadas de</w:t>
      </w:r>
    </w:p>
    <w:p>
      <w:r>
        <w:t>Fauna y Flora Silvestres (CITES)</w:t>
      </w:r>
    </w:p>
    <w:p>
      <w:r>
        <w:t>Unión Internacional para la Conservación de la Naturaleza (UICN)</w:t>
      </w:r>
    </w:p>
    <w:p>
      <w:r>
        <w:t>Este documento ha sido traducido a otros idiomas. En caso de duda, prevalece la versión inglesa actual. Versión 1. 25-02-2022</w:t>
      </w:r>
    </w:p>
    <w:p>
      <w:r>
        <w:t>Historial de versiones</w:t>
      </w:r>
    </w:p>
    <w:p>
      <w:r>
        <w:t>Propietario y responsable de aprobación</w:t>
      </w:r>
    </w:p>
    <w:p>
      <w:r>
        <w:t>Versión 1:</w:t>
      </w:r>
    </w:p>
    <w:p>
      <w:r>
        <w:t>25-02-2022</w:t>
      </w:r>
    </w:p>
    <w:p>
      <w:r>
        <w:t>Propietario:</w:t>
      </w:r>
    </w:p>
    <w:p>
      <w:r>
        <w:t>Anja dé Friés Nielsen</w:t>
      </w:r>
    </w:p>
    <w:p>
      <w:r>
        <w:t>Responsable:</w:t>
      </w:r>
    </w:p>
    <w:p>
      <w:r>
        <w:t>Morten Holdorff Møjbæk</w:t>
      </w:r>
    </w:p>
    <w:p>
      <w:r>
        <w:t>Fecha de aprobación:</w:t>
      </w:r>
    </w:p>
    <w:p>
      <w:r>
        <w:t>25-02-2022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