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position statement outlines BioMar’s requirements for sourcing agricultural commodities</w:t>
      </w:r>
    </w:p>
    <w:p>
      <w:r>
        <w:t>and their derivatives. All BioMar suppliers must also comply with the Responsible Sourcing</w:t>
      </w:r>
    </w:p>
    <w:p>
      <w:r>
        <w:t>Policy and Code of Conduct for Suppliers. In addition to these internal requirements, BioMar is</w:t>
      </w:r>
    </w:p>
    <w:p>
      <w:r>
        <w:t>committed to sourcing plant-based ingredients that meet the needs of our customers certified</w:t>
      </w:r>
    </w:p>
    <w:p>
      <w:r>
        <w:t>to best-practice industry standards, such as Global G.A.P, Best Aquaculture Practices (BAP), and</w:t>
      </w:r>
    </w:p>
    <w:p>
      <w:r>
        <w:t>Aquaculture Stewardship Council (ASC).</w:t>
      </w:r>
    </w:p>
    <w:p>
      <w:pPr>
        <w:pStyle w:val="Heading1"/>
      </w:pPr>
      <w:r>
        <w:t>Scope</w:t>
      </w:r>
    </w:p>
    <w:p>
      <w:r>
        <w:t>In scope of this position statement are all ingredients originating from crops but not including feed</w:t>
      </w:r>
    </w:p>
    <w:p>
      <w:r>
        <w:t>additives with a plant-based carrier matrix. The requirements in this position statement must be fulfilled by</w:t>
      </w:r>
    </w:p>
    <w:p>
      <w:r>
        <w:t>all BioMar business units following the target dates. For BioMar business units manufacturing ASC Feed,</w:t>
      </w:r>
    </w:p>
    <w:p>
      <w:r>
        <w:t>compliance must be achieved by the ASC transition period end-date. Future additions to the BioMar</w:t>
      </w:r>
    </w:p>
    <w:p>
      <w:r>
        <w:t>Group of companies will have 24 months to reach compliance, following a regionally appropriate action</w:t>
      </w:r>
    </w:p>
    <w:p>
      <w:r>
        <w:t>plan signed by executive management.</w:t>
      </w:r>
    </w:p>
    <w:p>
      <w:pPr>
        <w:pStyle w:val="Heading1"/>
      </w:pPr>
      <w:r>
        <w:t>Risk Assessment</w:t>
      </w:r>
    </w:p>
    <w:p>
      <w:r>
        <w:t>BioMar has aligned with the Due Diligence guidance for risk assessment published by OECD1. The BioMar Due Diligence Assessment Methodology (BioMar DD) is a classification approach used to determine the</w:t>
      </w:r>
    </w:p>
    <w:p>
      <w:r>
        <w:t>risk level of raw materials (RMs) as “high”, “medium”, or “low”. High-risk RMs are derived from crops with</w:t>
      </w:r>
    </w:p>
    <w:p>
      <w:r>
        <w:t>known risks related to the rule of law, human rights, and deforestation/conversion of natural habitats (i.e. soy</w:t>
      </w:r>
    </w:p>
    <w:p>
      <w:r>
        <w:t>and palm). Low-risk RMs are those where an adequate amount of documentation exists to rule out specific</w:t>
      </w:r>
    </w:p>
    <w:p>
      <w:r>
        <w:t>legal, environmental, and social impacts. RMs passing the BioMar DD with low risk can be utilized without</w:t>
      </w:r>
    </w:p>
    <w:p>
      <w:r>
        <w:t>restrictions. Medium risk exists when there is not enough information to clearly determine low risk status.</w:t>
      </w:r>
    </w:p>
    <w:p>
      <w:r>
        <w:t>If low risk cannot be determined, then the RM and the RM Ingredient Manufacturer will be subject to an</w:t>
      </w:r>
    </w:p>
    <w:p>
      <w:r>
        <w:t>action plan. The action plan will include milestones and target dates that focus on prevention, mitigation,</w:t>
      </w:r>
    </w:p>
    <w:p>
      <w:r>
        <w:t>and/or remediation of the identified risk(s). In cases where the ingredient manufacturer is unwilling or</w:t>
      </w:r>
    </w:p>
    <w:p>
      <w:r>
        <w:t>unable to engage in an action plan, BioMar will cease sourcing from that ingredient manufacturer.</w:t>
      </w:r>
    </w:p>
    <w:p>
      <w:pPr>
        <w:pStyle w:val="Heading1"/>
      </w:pPr>
      <w:r>
        <w:t>Sourcing Requirements</w:t>
      </w:r>
    </w:p>
    <w:p>
      <w:r>
        <w:t>Deforestation and Conversion Free</w:t>
      </w:r>
    </w:p>
    <w:p>
      <w:r>
        <w:t>BioMar is committed to deforestation and conversion-free supply chains (D/C-free) for the sourcing of</w:t>
      </w:r>
    </w:p>
    <w:p>
      <w:r>
        <w:t>all plant-based ingredients. High risk ingredients (soy and palm) should not originate from cropland</w:t>
      </w:r>
    </w:p>
    <w:p>
      <w:r>
        <w:t>deforested or converted from natural habitats after December 31st, 2020 (cut-off date) with a target date of December 31st, 20252. For high volume and other plant-based ingredients, a cut-off date of December 31st, 2020, shall apply with a target date of December 31st, 2030. High volume ingredients are</w:t>
      </w:r>
    </w:p>
    <w:p>
      <w:r>
        <w:t>¹ OECD Due Diligence Guidance for Responsible Business Conduct - OECD ² Due to the complexity of the supply chain for soy lecithin and similar derivatives which represent a minor proportion of BioMar’s overall soy sourcing, a target date of 2028 shall apply.</w:t>
      </w:r>
    </w:p>
    <w:p>
      <w:r>
        <w:t>This English version has been translated to other languages. In event of doubt, the current English version takes precedence. Version 6. 28-02-2026</w:t>
      </w:r>
    </w:p>
    <w:p>
      <w:r>
        <w:t>categorized based on the collective majority volumes calculated excluding high risk ingredients. Other</w:t>
      </w:r>
    </w:p>
    <w:p>
      <w:r>
        <w:t>ingredients refer to the remaining part of plant-based ingredients which are neither high risk nor high</w:t>
      </w:r>
    </w:p>
    <w:p>
      <w:r>
        <w:t>volume. These ingredients will be risk assessed and subject to an action plan if required, with the purpose</w:t>
      </w:r>
    </w:p>
    <w:p>
      <w:r>
        <w:t>of ensuring compliance with the target date. Proof of compliance with BioMar’s D/C-free commitment</w:t>
      </w:r>
    </w:p>
    <w:p>
      <w:r>
        <w:t>shall include evidence gathered during the BioMar DD process for evaluating raw materials and suppliers.</w:t>
      </w:r>
    </w:p>
    <w:p>
      <w:r>
        <w:t>Furthermore, suppliers are encouraged to share their own D/C-free commitments.</w:t>
      </w:r>
    </w:p>
    <w:p>
      <w:r>
        <w:t>Traceability</w:t>
      </w:r>
    </w:p>
    <w:p>
      <w:r>
        <w:t>BioMar requires traceability documentation for each delivery declaring the ingredient name, crop</w:t>
      </w:r>
    </w:p>
    <w:p>
      <w:r>
        <w:t>name, country of crop production, country of raw material production, and the certification status of the</w:t>
      </w:r>
    </w:p>
    <w:p>
      <w:r>
        <w:t>agricultural crop (i.e. ProTerra, RTRS, etc.). In addition, for raw materials derived from soy and palm, the</w:t>
      </w:r>
    </w:p>
    <w:p>
      <w:r>
        <w:t>region/state/municipality of crop production is required per January 1st, 2027. If the BioMar supplier of</w:t>
      </w:r>
    </w:p>
    <w:p>
      <w:r>
        <w:t>certified soy and palm is different from the producer, then the supplier must have a Chain of Custody or</w:t>
      </w:r>
    </w:p>
    <w:p>
      <w:r>
        <w:t>verified traceability system.</w:t>
      </w:r>
    </w:p>
    <w:p>
      <w:pPr>
        <w:pStyle w:val="Heading1"/>
      </w:pPr>
      <w:r>
        <w:t>Circular and Restorative Practices Circular economy principles and restorative practices are necessary to improve the long-term sustainability</w:t>
      </w:r>
    </w:p>
    <w:p>
      <w:r>
        <w:t>of our supply chains. Restorative ingredients are RMs that significantly reduce ecosystem impacts and</w:t>
      </w:r>
    </w:p>
    <w:p>
      <w:r>
        <w:t>move agriculture towards net-positive environmental outcomes compared to current agricultural</w:t>
      </w:r>
    </w:p>
    <w:p>
      <w:r>
        <w:t>practices. Suppliers practicing or transitioning towards restorative farming practices and/or focusing on</w:t>
      </w:r>
    </w:p>
    <w:p>
      <w:r>
        <w:t>circular production inputs (i.e. recycled water and nutrients) and renewable energy will take precedence</w:t>
      </w:r>
    </w:p>
    <w:p>
      <w:r>
        <w:t>in the BioMar portfolio. Our circular and restorative ambitions seek to progressively decouple feed supply</w:t>
      </w:r>
    </w:p>
    <w:p>
      <w:r>
        <w:t>chains from directly competing with food security. Our target is to source 50% of BioMar’s raw materials</w:t>
      </w:r>
    </w:p>
    <w:p>
      <w:r>
        <w:t>from circular or restorative ingredients by 2030.</w:t>
      </w:r>
    </w:p>
    <w:p>
      <w:r>
        <w:t>This English version has been translated to other languages. In event of doubt, the current English version takes precedence. Version 6. 28-02-2026</w:t>
      </w:r>
    </w:p>
    <w:p>
      <w:pPr>
        <w:pStyle w:val="Heading1"/>
      </w:pPr>
      <w:r>
        <w:t>Definition list</w:t>
      </w:r>
    </w:p>
    <w:p>
      <w:r>
        <w:t>ASC</w:t>
      </w:r>
    </w:p>
    <w:p>
      <w:r>
        <w:t>Aquaculture Stewardship Council</w:t>
      </w:r>
    </w:p>
    <w:p>
      <w:r>
        <w:t>BAP</w:t>
      </w:r>
    </w:p>
    <w:p>
      <w:r>
        <w:t>Best Aquaculture Practices</w:t>
      </w:r>
    </w:p>
    <w:p>
      <w:r>
        <w:t>Conversion</w:t>
      </w:r>
    </w:p>
    <w:p>
      <w:r>
        <w:t>High-volume plant ingredients</w:t>
      </w:r>
    </w:p>
    <w:p>
      <w:r>
        <w:t>This applies to ingredients which collectively make up the</w:t>
      </w:r>
    </w:p>
    <w:p>
      <w:r>
        <w:t>majority of the total plant ingredient volume, i.e., ≥ 50%, after</w:t>
      </w:r>
    </w:p>
    <w:p>
      <w:r>
        <w:t>high risk ingredients (soy and palm) have been deducted.</w:t>
      </w:r>
    </w:p>
    <w:p>
      <w:r>
        <w:t>OECD</w:t>
      </w:r>
    </w:p>
    <w:p>
      <w:r>
        <w:t>Organisation for Economic Co-operation and Development</w:t>
      </w:r>
    </w:p>
    <w:p>
      <w:r>
        <w:t>Change of a natural ecosystem to another</w:t>
      </w:r>
    </w:p>
    <w:p>
      <w:r>
        <w:t>land use</w:t>
      </w:r>
    </w:p>
    <w:p>
      <w:r>
        <w:t>or profound change</w:t>
      </w:r>
    </w:p>
    <w:p>
      <w:r>
        <w:t>in a natural ecosystem’s species</w:t>
      </w:r>
    </w:p>
    <w:p>
      <w:r>
        <w:t>RM(s)</w:t>
      </w:r>
    </w:p>
    <w:p>
      <w:r>
        <w:t>composition, structure, or function. Note: Deforestation is one</w:t>
      </w:r>
    </w:p>
    <w:p>
      <w:r>
        <w:t>Raw material(s)</w:t>
      </w:r>
    </w:p>
    <w:p>
      <w:r>
        <w:t>form of conversion (conversion of natural forests). Change to</w:t>
      </w:r>
    </w:p>
    <w:p>
      <w:r>
        <w:t>natural ecosystems that meets this definition is considered to</w:t>
      </w:r>
    </w:p>
    <w:p>
      <w:r>
        <w:t>RTRS</w:t>
      </w:r>
    </w:p>
    <w:p>
      <w:r>
        <w:t>be conversion regardless of whether or not it is legal.</w:t>
      </w:r>
    </w:p>
    <w:p>
      <w:r>
        <w:t>Round Table on Responsible Soy Association</w:t>
      </w:r>
    </w:p>
    <w:p>
      <w:r>
        <w:t>Conversion-free</w:t>
      </w:r>
    </w:p>
    <w:p>
      <w:r>
        <w:t>Commodity production, sourcing, or financial investments</w:t>
      </w:r>
    </w:p>
    <w:p>
      <w:r>
        <w:t>that do not cause or contribute to the conversion of natural</w:t>
      </w:r>
    </w:p>
    <w:p>
      <w:r>
        <w:t>ecosystems (as defined by the Accountability Framework).</w:t>
      </w:r>
    </w:p>
    <w:p>
      <w:pPr>
        <w:pStyle w:val="Heading1"/>
      </w:pPr>
      <w:r>
        <w:t>References Internal</w:t>
      </w:r>
    </w:p>
    <w:p>
      <w:r>
        <w:t>No-conversion refers to no gross conversion of natural</w:t>
      </w:r>
    </w:p>
    <w:p>
      <w:r>
        <w:t>ecosystems. The terms “no-conversion” and “conversionfree”</w:t>
      </w:r>
    </w:p>
    <w:p>
      <w:r>
        <w:t>are used in favour of “zero-conversion” because “zero” can</w:t>
      </w:r>
    </w:p>
    <w:p>
      <w:r>
        <w:t>imply an absolutist approach that may be at odds with the need</w:t>
      </w:r>
    </w:p>
    <w:p>
      <w:r>
        <w:t>to sometimes accommodate minimal levels of conversion at</w:t>
      </w:r>
    </w:p>
    <w:p>
      <w:r>
        <w:t>the site level in the interest of facilitating optimal conservation</w:t>
      </w:r>
    </w:p>
    <w:p>
      <w:r>
        <w:t>and production outcomes.</w:t>
      </w:r>
    </w:p>
    <w:p>
      <w:r>
        <w:t>Deforestation</w:t>
      </w:r>
    </w:p>
    <w:p>
      <w:r>
        <w:t>Loss of natural forest as a result of: i) conversion to agriculture</w:t>
      </w:r>
    </w:p>
    <w:p>
      <w:r>
        <w:t>or other non-forest land use; ii) conversion to a tree plantation;</w:t>
      </w:r>
    </w:p>
    <w:p>
      <w:r>
        <w:t>or iii) severe and sustained degradation. Loss of natural forest</w:t>
      </w:r>
    </w:p>
    <w:p>
      <w:r>
        <w:t>that meets this definition is considered to be deforestation</w:t>
      </w:r>
    </w:p>
    <w:p>
      <w:r>
        <w:t>regardless of whether or not it is legal. – The Accountability</w:t>
      </w:r>
    </w:p>
    <w:p>
      <w:r>
        <w:t>External</w:t>
      </w:r>
    </w:p>
    <w:p>
      <w:r>
        <w:t>Aquaculture Industry standards</w:t>
      </w:r>
    </w:p>
    <w:p>
      <w:pPr>
        <w:pStyle w:val="ListBullet"/>
      </w:pPr>
      <w:r>
        <w:t>Aquaculture Stewardship Council (ASC)</w:t>
      </w:r>
    </w:p>
    <w:p>
      <w:pPr>
        <w:pStyle w:val="ListBullet"/>
      </w:pPr>
      <w:r>
        <w:t>Best Aquaculture Practices (BAP)</w:t>
      </w:r>
    </w:p>
    <w:p>
      <w:r>
        <w:t>Framework’s definition of deforestation signifies “gross</w:t>
      </w:r>
    </w:p>
    <w:p>
      <w:pPr>
        <w:pStyle w:val="ListBullet"/>
      </w:pPr>
      <w:r>
        <w:t>MarinTrust</w:t>
      </w:r>
    </w:p>
    <w:p>
      <w:r>
        <w:t>deforestation” of natural forest where “gross” is used in the</w:t>
      </w:r>
    </w:p>
    <w:p>
      <w:r>
        <w:t>sense of “total; aggregate; without deduction for reforestation</w:t>
      </w:r>
    </w:p>
    <w:p>
      <w:pPr>
        <w:pStyle w:val="ListBullet"/>
      </w:pPr>
      <w:r>
        <w:t>Marine Stewardship Council (MSC)</w:t>
      </w:r>
    </w:p>
    <w:p>
      <w:r>
        <w:t>or other offset.”</w:t>
      </w:r>
    </w:p>
    <w:p>
      <w:r>
        <w:t>Deforestation-free</w:t>
      </w:r>
    </w:p>
    <w:p>
      <w:r>
        <w:t>Commodity production, sourcing, or financial investments</w:t>
      </w:r>
    </w:p>
    <w:p>
      <w:r>
        <w:t>that do not cause or contribute to deforestation (as defined</w:t>
      </w:r>
    </w:p>
    <w:p>
      <w:r>
        <w:t>by the Accountability Framework). The AFi recognises the</w:t>
      </w:r>
    </w:p>
    <w:p>
      <w:r>
        <w:t>High Carbon Stock Approach (HCSA) as a practical tool</w:t>
      </w:r>
    </w:p>
    <w:p>
      <w:r>
        <w:t>to implement no-deforestation in the tropics, in contexts</w:t>
      </w:r>
    </w:p>
    <w:p>
      <w:r>
        <w:t>wherethe tool has been validated.</w:t>
      </w:r>
    </w:p>
    <w:p>
      <w:r>
        <w:t>Global G.A.P</w:t>
      </w:r>
    </w:p>
    <w:p>
      <w:r>
        <w:t>Global Good Agricultural Practices</w:t>
      </w:r>
    </w:p>
    <w:p>
      <w:r>
        <w:t>Accountability Framework Initiative (AFi)</w:t>
      </w:r>
    </w:p>
    <w:p>
      <w:r>
        <w:t>Global Good Agriculture Practices (Global G.A.P)</w:t>
      </w:r>
    </w:p>
    <w:p>
      <w:r>
        <w:t>Organisation for Economic Co-operation and Development</w:t>
      </w:r>
    </w:p>
    <w:p>
      <w:r>
        <w:t>(OECD)</w:t>
      </w:r>
    </w:p>
    <w:p>
      <w:r>
        <w:t>Round Table on Responsible Soy Association (RTRS)</w:t>
      </w:r>
    </w:p>
    <w:p>
      <w:r>
        <w:t>This English version has been translated to other languages. In event of doubt, the current English version takes precedence. Version 6. 28-02-2026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