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r>
        <w:t>Health &amp; Safety</w:t>
      </w:r>
    </w:p>
    <w:p>
      <w:r>
        <w:t>Cost-Consciouness</w:t>
      </w:r>
    </w:p>
    <w:p>
      <w:r>
        <w:t>All employees should be able to travel in a safe and healthy manner.</w:t>
      </w:r>
    </w:p>
    <w:p>
      <w:r>
        <w:t>Cost-consciousness should be practiced by all employees and managers</w:t>
      </w:r>
    </w:p>
    <w:p>
      <w: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pStyle w:val="ListBullet"/>
      </w:pPr>
      <w:r>
        <w:t>Travel insurance must be in place.</w:t>
      </w:r>
    </w:p>
    <w:p>
      <w:pPr>
        <w:pStyle w:val="ListBullet"/>
      </w:pPr>
      <w:r>
        <w:t>Travellers should have access to support resources.</w:t>
      </w:r>
    </w:p>
    <w:p>
      <w:pPr>
        <w:pStyle w:val="ListBullet"/>
      </w:pPr>
      <w:r>
        <w:t>Emergency preparedness is a prerequisite.</w:t>
      </w:r>
    </w:p>
    <w:p>
      <w:pPr>
        <w:pStyle w:val="ListBullet"/>
      </w:pPr>
      <w:r>
        <w:t>Travel should be cost-conscious.</w:t>
      </w:r>
    </w:p>
    <w:p>
      <w: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pStyle w:val="Heading1"/>
      </w:pPr>
      <w:r>
        <w:t>Principle 1: Travel insurance must be in place</w:t>
      </w:r>
    </w:p>
    <w:p>
      <w: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r>
        <w:t>When inviting external stakeholders to events for which we handle travel arrangements, they must be informed that they are responsible for obtaining travel insurance as the BioMar insurance does not cover external stakeholders.</w:t>
      </w:r>
    </w:p>
    <w:p>
      <w:pPr>
        <w:pStyle w:val="Heading1"/>
      </w:pPr>
      <w:r>
        <w:t>Principle 2: Travellers should have access to support resources</w:t>
      </w:r>
    </w:p>
    <w:p>
      <w: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p>
      <w:r>
        <w:t>Travel Support Resource</w:t>
      </w:r>
    </w:p>
    <w:p>
      <w:r>
        <w:t>Destination Information</w:t>
      </w:r>
    </w:p>
    <w:p>
      <w:r>
        <w:t>Travel Training</w:t>
      </w:r>
    </w:p>
    <w:p>
      <w:r>
        <w:t>Access to Assistance Centers</w:t>
      </w:r>
    </w:p>
    <w:p>
      <w:r>
        <w:t>Understanding the unique characteristics of each destination is crucial for travellers to make informed decisions and stay safe. Through our partnership with International SOS, employees have access to comprehensive destination information, including health advisories, security risks, and local customs.</w:t>
      </w:r>
    </w:p>
    <w:p>
      <w:r>
        <w:t>Preparation and travel knowledge is key to traveling safely. Biomar therefore offers training resources on Workday Learning to help employees enhance their travel preparedness. For employees travelling to higher risk destinations, training videos targeting this type of travel are particularly valuable.</w:t>
      </w:r>
    </w:p>
    <w:p>
      <w:r>
        <w:t>Travellers are therefore equipped with the knowledge they need to navigate unfamiliar environments confidently.</w:t>
      </w:r>
    </w:p>
    <w:p>
      <w:r>
        <w:t>By completing relevant training modules, employees can better navigate potential risks and challenges during their travels.</w:t>
      </w:r>
    </w:p>
    <w:p>
      <w:r>
        <w:t>In the event of an emergency or unforeseen circumstances, employees can rely on International SOS for 24/7 emergency assistance services. By calling the assistance centers, employees can receive support and advice on their travels. The assistance centers can also be used for general travel-related queries.</w:t>
      </w:r>
    </w:p>
    <w:p>
      <w:r>
        <w:t>Travellers are therefore able to receive the assistance they need, wherever they are in the world.</w:t>
      </w:r>
    </w:p>
    <w:p>
      <w:r>
        <w:t>We encourage the proactive use of these resources to enhance travel safety and increase peace of mind.</w:t>
      </w:r>
    </w:p>
    <w:p>
      <w:pPr>
        <w:pStyle w:val="Heading1"/>
      </w:pPr>
      <w:r>
        <w:t>Principle 3: Emergency preparedness is a prerequisite</w:t>
      </w:r>
    </w:p>
    <w:p>
      <w: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r>
        <w:t>Our partnership with International SOS is a cornerstone of our emergency preparedness strategy. It is essential for employees to know how to access the services before travelling is commenced. Employees</w:t>
      </w:r>
    </w:p>
    <w:p>
      <w:r>
        <w:t>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r>
        <w:t>Before embarking on any business trip, employees must complete and regularly update their emergency contact information in Workday. This step is crucial for enabling BioMar to swiftly reach the appropriate contacts in case of an emergency.</w:t>
      </w:r>
    </w:p>
    <w:p>
      <w:pPr>
        <w:pStyle w:val="Heading1"/>
      </w:pPr>
      <w:r>
        <w:t>Principle 4: Travel should be cost-conscious</w:t>
      </w:r>
    </w:p>
    <w:p>
      <w: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w:t>
      </w:r>
    </w:p>
    <w:p>
      <w:r>
        <w:t>more than 60 days per year on average.</w:t>
      </w:r>
    </w:p>
    <w:p>
      <w: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pStyle w:val="Heading1"/>
      </w:pPr>
      <w:r>
        <w:t>Application</w:t>
      </w:r>
    </w:p>
    <w:p>
      <w:r>
        <w:t>The policy applies to all consolidated companies in BioMar Group. The application of the policy for Joint Ventures is decided by the Board of each entity.</w:t>
      </w:r>
    </w:p>
    <w:p>
      <w:r>
        <w:t>Additional information about the application of the policy can be found in the Travel Policy Implementation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