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42uomk_.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pPr>
      <w:r>
        <w:rPr>
          <w:rFonts w:ascii="Avenir Next LT Pro" w:hAnsi="Avenir Next LT Pro"/>
          <w:b/>
          <w:i w:val="0"/>
          <w:color w:val="1C4076"/>
          <w:sz w:val="28"/>
        </w:rPr>
        <w:t>Name and objects</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i w:val="0"/>
          <w:color w:val="1C4076"/>
          <w:sz w:val="28"/>
        </w:rPr>
        <w:t>Share capital and shares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Company’s nominal share capital is DKK 250,000,000 divided into shares of DKK 2.50 each or multiples thereof.</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val="0"/>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val="0"/>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val="0"/>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i w:val="0"/>
          <w:color w:val="1C4076"/>
          <w:sz w:val="28"/>
        </w:rPr>
        <w:t>Authorisations to increase share capital</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i w:val="0"/>
          <w:color w:val="1C4076"/>
          <w:sz w:val="28"/>
        </w:rPr>
        <w:t>Board of Directors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260" w:after="160"/>
      </w:pPr>
      <w:r>
        <w:rPr>
          <w:rFonts w:ascii="Avenir Next LT Pro" w:hAnsi="Avenir Next LT Pro"/>
          <w:b/>
          <w:i w:val="0"/>
          <w:color w:val="1C4076"/>
          <w:sz w:val="28"/>
        </w:rPr>
        <w:t>Executive Management</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260" w:after="160"/>
      </w:pPr>
      <w:r>
        <w:rPr>
          <w:rFonts w:ascii="Avenir Next LT Pro" w:hAnsi="Avenir Next LT Pro"/>
          <w:b/>
          <w:i w:val="0"/>
          <w:color w:val="1C4076"/>
          <w:sz w:val="28"/>
        </w:rPr>
        <w:t>Rules of signature</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i w:val="0"/>
          <w:color w:val="1C4076"/>
          <w:sz w:val="28"/>
        </w:rPr>
        <w:t>Corporate language</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i w:val="0"/>
          <w:color w:val="1C4076"/>
          <w:sz w:val="28"/>
        </w:rPr>
        <w:t>Electronic communication</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val="0"/>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val="0"/>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260" w:after="160"/>
      </w:pPr>
      <w:r>
        <w:rPr>
          <w:rFonts w:ascii="Avenir Next LT Pro" w:hAnsi="Avenir Next LT Pro"/>
          <w:b/>
          <w:i w:val="0"/>
          <w:color w:val="1C4076"/>
          <w:sz w:val="28"/>
        </w:rPr>
        <w:t>General meeting, venue and notice</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val="0"/>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val="0"/>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val="0"/>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tabs>
          <w:tab w:pos="708" w:val="left"/>
        </w:tabs>
        <w:spacing w:after="200"/>
        <w:ind w:left="708" w:hanging="708"/>
        <w:jc w:val="both"/>
      </w:pPr>
      <w:r>
        <w:rPr>
          <w:rFonts w:ascii="Avenir Next LT Pro" w:hAnsi="Avenir Next LT Pro"/>
          <w:b w:val="0"/>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260" w:after="160"/>
      </w:pPr>
      <w:r>
        <w:rPr>
          <w:rFonts w:ascii="Avenir Next LT Pro" w:hAnsi="Avenir Next LT Pro"/>
          <w:b/>
          <w:i w:val="0"/>
          <w:color w:val="1C4076"/>
          <w:sz w:val="28"/>
        </w:rPr>
        <w:t>Agenda for the annual general meeting</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i w:val="0"/>
          <w:color w:val="1C4076"/>
          <w:sz w:val="28"/>
        </w:rPr>
        <w:t>Shareholders’ attendance and voting rights at the general meeting</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pPr>
      <w:r>
        <w:rPr>
          <w:rFonts w:ascii="Avenir Next LT Pro" w:hAnsi="Avenir Next LT Pro"/>
          <w:b/>
          <w:i w:val="0"/>
          <w:color w:val="1C4076"/>
          <w:sz w:val="28"/>
        </w:rPr>
        <w:t>Resolutions at general meetings</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i w:val="0"/>
          <w:color w:val="1C4076"/>
          <w:sz w:val="28"/>
        </w:rPr>
        <w:t>Indemnification scheme</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i w:val="0"/>
          <w:color w:val="1C4076"/>
          <w:sz w:val="28"/>
        </w:rPr>
        <w:t>Annual report and audit</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i w:val="0"/>
          <w:color w:val="1C4076"/>
          <w:sz w:val="28"/>
        </w:rPr>
        <w:t>Financial year</w:t>
      </w:r>
    </w:p>
    <w:p>
      <w:pPr>
        <w:tabs>
          <w:tab w:pos="708" w:val="left"/>
        </w:tabs>
        <w:spacing w:after="200"/>
        <w:ind w:left="708" w:hanging="708"/>
        <w:jc w:val="both"/>
      </w:pPr>
      <w:r>
        <w:rPr>
          <w:rFonts w:ascii="Avenir Next LT Pro" w:hAnsi="Avenir Next LT Pro"/>
          <w:b w:val="0"/>
          <w:i w:val="0"/>
          <w:color w:val="1C4076"/>
          <w:sz w:val="22"/>
        </w:rPr>
        <w:t>15.1</w:t>
        <w:tab/>
      </w:r>
      <w:r>
        <w:rPr>
          <w:rFonts w:ascii="Avenir Next LT Pro" w:hAnsi="Avenir Next LT Pro"/>
          <w:b w:val="0"/>
          <w:i w:val="0"/>
          <w:color w:val="1C4076"/>
          <w:sz w:val="22"/>
        </w:rPr>
        <w:t>The Company’s financial year is the calendar year.</w:t>
      </w:r>
    </w:p>
    <w:p>
      <w:pPr>
        <w:spacing w:after="200"/>
        <w:jc w:val="center"/>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