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c5zd71yr.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1 Introduction</w:t>
      </w:r>
    </w:p>
    <w:p>
      <w:pPr>
        <w:spacing w:after="200"/>
        <w:jc w:val="both"/>
      </w:pPr>
      <w:r>
        <w:rPr>
          <w:rFonts w:ascii="Avenir Next LT Pro" w:hAnsi="Avenir Next LT Pro"/>
          <w:b w:val="0"/>
          <w:color w:val="1C4076"/>
          <w:sz w:val="22"/>
        </w:rPr>
        <w:t>1.1 This remuneration policy (the “Remuneration Policy”) of BioMar Group A/S, CVR no. 38 57 06 17 (the “Company”) has been prepared in accordance with section 139 and 139a of the Danish Companies Act and the recommendations published by the Danish Committee on Corporate Governance as implemented by Nasdaq Copenhagen A/S.</w:t>
      </w:r>
    </w:p>
    <w:p>
      <w:pPr>
        <w:spacing w:after="200"/>
        <w:jc w:val="both"/>
      </w:pPr>
      <w:r>
        <w:rPr>
          <w:rFonts w:ascii="Avenir Next LT Pro" w:hAnsi="Avenir Next LT Pro"/>
          <w:b w:val="0"/>
          <w:color w:val="1C4076"/>
          <w:sz w:val="22"/>
        </w:rPr>
        <w:t>1.2 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pPr>
        <w:keepNext/>
        <w:spacing w:before="260" w:after="160"/>
      </w:pPr>
      <w:r>
        <w:rPr>
          <w:rFonts w:ascii="Avenir Next LT Pro" w:hAnsi="Avenir Next LT Pro"/>
          <w:b/>
          <w:color w:val="1C4076"/>
          <w:sz w:val="28"/>
        </w:rPr>
        <w:t>2 Objectives</w:t>
      </w:r>
    </w:p>
    <w:p>
      <w:pPr>
        <w:spacing w:after="200"/>
        <w:jc w:val="both"/>
      </w:pPr>
      <w:r>
        <w:rPr>
          <w:rFonts w:ascii="Avenir Next LT Pro" w:hAnsi="Avenir Next LT Pro"/>
          <w:b w:val="0"/>
          <w:color w:val="1C4076"/>
          <w:sz w:val="22"/>
        </w:rPr>
        <w:t>2.1 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pPr>
        <w:spacing w:after="200"/>
        <w:jc w:val="both"/>
      </w:pPr>
      <w:r>
        <w:rPr>
          <w:rFonts w:ascii="Avenir Next LT Pro" w:hAnsi="Avenir Next LT Pro"/>
          <w:b w:val="0"/>
          <w:color w:val="1C4076"/>
          <w:sz w:val="22"/>
        </w:rPr>
        <w:t>2.2 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is in compliance with this Remuneration Policy and that the remuneration does not exceed what is considered usual taking into account the nature and extent of the work and the Company’s financial position.</w:t>
      </w:r>
    </w:p>
    <w:p>
      <w:pPr>
        <w:keepNext/>
        <w:spacing w:before="260" w:after="160"/>
      </w:pPr>
      <w:r>
        <w:rPr>
          <w:rFonts w:ascii="Avenir Next LT Pro" w:hAnsi="Avenir Next LT Pro"/>
          <w:b/>
          <w:color w:val="1C4076"/>
          <w:sz w:val="28"/>
        </w:rPr>
        <w:t>3 Remuneration of the members of the Board of Directors</w:t>
      </w:r>
    </w:p>
    <w:p>
      <w:pPr>
        <w:spacing w:after="200"/>
        <w:jc w:val="both"/>
      </w:pPr>
      <w:r>
        <w:rPr>
          <w:rFonts w:ascii="Avenir Next LT Pro" w:hAnsi="Avenir Next LT Pro"/>
          <w:b w:val="0"/>
          <w:color w:val="1C4076"/>
          <w:sz w:val="22"/>
        </w:rPr>
        <w:t>The remuneration offered to the members of the Board of Directors shall be designed to be able to attract and retain competent members to the Board of Directors taking into consideration the market practice of comparable listed companies as well as due regard to the required competencies, experience, knowledge, effort and scope of work of the members of the Board of Directors.</w:t>
      </w:r>
    </w:p>
    <w:p>
      <w:pPr>
        <w:spacing w:after="200"/>
        <w:jc w:val="both"/>
      </w:pPr>
      <w:r>
        <w:rPr>
          <w:rFonts w:ascii="Avenir Next LT Pro" w:hAnsi="Avenir Next LT Pro"/>
          <w:b w:val="0"/>
          <w:color w:val="1C4076"/>
          <w:sz w:val="22"/>
        </w:rPr>
        <w:t>3.1 Fixed fee</w:t>
      </w:r>
    </w:p>
    <w:p>
      <w:pPr>
        <w:spacing w:after="200"/>
        <w:jc w:val="both"/>
      </w:pPr>
      <w:r>
        <w:rPr>
          <w:rFonts w:ascii="Avenir Next LT Pro" w:hAnsi="Avenir Next LT Pro"/>
          <w:b w:val="0"/>
          <w:color w:val="1C4076"/>
          <w:sz w:val="22"/>
        </w:rPr>
        <w:t>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 a board member to an additional fixed annual fee calculated based on a multiple of the Base Fee. Table 1 outlines the fixed multiples of the Base Fee applicable to the remuneration of the Board of Directors.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color w:val="FFFFFF"/>
                <w:sz w:val="17"/>
              </w:rPr>
              <w:t>Table 1: Remuneration structure of the Board of Directors – fixed fee multiples</w:t>
            </w:r>
          </w:p>
        </w:tc>
        <w:tc>
          <w:tcPr>
            <w:tcW w:type="dxa" w:w="2551"/>
            <w:shd w:val="clear" w:fill="1C4076"/>
          </w:tcPr>
          <w:p>
            <w:r/>
            <w:r>
              <w:rPr>
                <w:rFonts w:ascii="Avenir Next LT Pro" w:hAnsi="Avenir Next LT Pro"/>
                <w:b/>
                <w:color w:val="FFFFFF"/>
                <w:sz w:val="17"/>
              </w:rPr>
              <w:t>Table 1: Remuneration structure of the Board of Directors – fixed fee multiples</w:t>
            </w:r>
          </w:p>
        </w:tc>
        <w:tc>
          <w:tcPr>
            <w:tcW w:type="dxa" w:w="2551"/>
            <w:shd w:val="clear" w:fill="1C4076"/>
          </w:tcPr>
          <w:p>
            <w:r/>
            <w:r>
              <w:rPr>
                <w:rFonts w:ascii="Avenir Next LT Pro" w:hAnsi="Avenir Next LT Pro"/>
                <w:b/>
                <w:color w:val="FFFFFF"/>
                <w:sz w:val="17"/>
              </w:rPr>
              <w:t>Table 1: Remuneration structure of the Board of Directors – fixed fee multiples</w:t>
            </w:r>
          </w:p>
        </w:tc>
        <w:tc>
          <w:tcPr>
            <w:tcW w:type="dxa" w:w="2551"/>
            <w:shd w:val="clear" w:fill="1C4076"/>
          </w:tcPr>
          <w:p>
            <w:r/>
            <w:r>
              <w:rPr>
                <w:rFonts w:ascii="Avenir Next LT Pro" w:hAnsi="Avenir Next LT Pro"/>
                <w:b/>
                <w:color w:val="FFFFFF"/>
                <w:sz w:val="17"/>
              </w:rPr>
              <w:t>Table 1: Remuneration structure of the Board of Directors – fixed fee multiples</w:t>
            </w:r>
          </w:p>
        </w:tc>
      </w:tr>
      <w:tr>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t>Board of Directors</w:t>
            </w:r>
          </w:p>
        </w:tc>
        <w:tc>
          <w:tcPr>
            <w:tcW w:type="dxa" w:w="2551"/>
          </w:tcPr>
          <w:p>
            <w:r/>
            <w:r>
              <w:rPr>
                <w:rFonts w:ascii="Avenir Next LT Pro" w:hAnsi="Avenir Next LT Pro"/>
                <w:b w:val="0"/>
                <w:color w:val="1C4076"/>
                <w:sz w:val="17"/>
              </w:rPr>
              <w:t>Audit Committee</w:t>
            </w:r>
          </w:p>
        </w:tc>
        <w:tc>
          <w:tcPr>
            <w:tcW w:type="dxa" w:w="2551"/>
          </w:tcPr>
          <w:p>
            <w:r/>
            <w:r>
              <w:rPr>
                <w:rFonts w:ascii="Avenir Next LT Pro" w:hAnsi="Avenir Next LT Pro"/>
                <w:b w:val="0"/>
                <w:color w:val="1C4076"/>
                <w:sz w:val="17"/>
              </w:rPr>
              <w:t>Remuneration and Nomination Committee</w:t>
            </w:r>
          </w:p>
        </w:tc>
      </w:tr>
      <w:tr>
        <w:tc>
          <w:tcPr>
            <w:tcW w:type="dxa" w:w="2551"/>
          </w:tcPr>
          <w:p>
            <w:r/>
            <w:r>
              <w:rPr>
                <w:rFonts w:ascii="Avenir Next LT Pro" w:hAnsi="Avenir Next LT Pro"/>
                <w:b w:val="0"/>
                <w:color w:val="1C4076"/>
                <w:sz w:val="17"/>
              </w:rPr>
              <w:t>Chair</w:t>
            </w:r>
          </w:p>
        </w:tc>
        <w:tc>
          <w:tcPr>
            <w:tcW w:type="dxa" w:w="2551"/>
          </w:tcPr>
          <w:p>
            <w:r/>
            <w:r>
              <w:rPr>
                <w:rFonts w:ascii="Avenir Next LT Pro" w:hAnsi="Avenir Next LT Pro"/>
                <w:b w:val="0"/>
                <w:color w:val="1C4076"/>
                <w:sz w:val="17"/>
              </w:rPr>
              <w:t>3x Base Fee</w:t>
            </w:r>
          </w:p>
        </w:tc>
        <w:tc>
          <w:tcPr>
            <w:tcW w:type="dxa" w:w="2551"/>
          </w:tcPr>
          <w:p>
            <w:r/>
            <w:r>
              <w:rPr>
                <w:rFonts w:ascii="Avenir Next LT Pro" w:hAnsi="Avenir Next LT Pro"/>
                <w:b w:val="0"/>
                <w:color w:val="1C4076"/>
                <w:sz w:val="17"/>
              </w:rPr>
              <w:t>Up to 0.75x Base Fee</w:t>
            </w:r>
          </w:p>
        </w:tc>
        <w:tc>
          <w:tcPr>
            <w:tcW w:type="dxa" w:w="2551"/>
          </w:tcPr>
          <w:p>
            <w:r/>
            <w:r>
              <w:rPr>
                <w:rFonts w:ascii="Avenir Next LT Pro" w:hAnsi="Avenir Next LT Pro"/>
                <w:b w:val="0"/>
                <w:color w:val="1C4076"/>
                <w:sz w:val="17"/>
              </w:rPr>
              <w:t>Up to 0.50x Base Fee</w:t>
            </w:r>
          </w:p>
        </w:tc>
      </w:tr>
      <w:tr>
        <w:tc>
          <w:tcPr>
            <w:tcW w:type="dxa" w:w="2551"/>
          </w:tcPr>
          <w:p>
            <w:r/>
            <w:r>
              <w:rPr>
                <w:rFonts w:ascii="Avenir Next LT Pro" w:hAnsi="Avenir Next LT Pro"/>
                <w:b w:val="0"/>
                <w:color w:val="1C4076"/>
                <w:sz w:val="17"/>
              </w:rPr>
              <w:t>Vice Chair</w:t>
            </w:r>
          </w:p>
        </w:tc>
        <w:tc>
          <w:tcPr>
            <w:tcW w:type="dxa" w:w="2551"/>
          </w:tcPr>
          <w:p>
            <w:r/>
            <w:r>
              <w:rPr>
                <w:rFonts w:ascii="Avenir Next LT Pro" w:hAnsi="Avenir Next LT Pro"/>
                <w:b w:val="0"/>
                <w:color w:val="1C4076"/>
                <w:sz w:val="17"/>
              </w:rPr>
              <w:t>1.5x Base Fee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t>—</w:t>
            </w:r>
          </w:p>
        </w:tc>
      </w:tr>
      <w:tr>
        <w:tc>
          <w:tcPr>
            <w:tcW w:type="dxa" w:w="2551"/>
          </w:tcPr>
          <w:p>
            <w:r/>
            <w:r>
              <w:rPr>
                <w:rFonts w:ascii="Avenir Next LT Pro" w:hAnsi="Avenir Next LT Pro"/>
                <w:b w:val="0"/>
                <w:color w:val="1C4076"/>
                <w:sz w:val="17"/>
              </w:rPr>
              <w:t>Member</w:t>
            </w:r>
          </w:p>
        </w:tc>
        <w:tc>
          <w:tcPr>
            <w:tcW w:type="dxa" w:w="2551"/>
          </w:tcPr>
          <w:p>
            <w:r/>
            <w:r>
              <w:rPr>
                <w:rFonts w:ascii="Avenir Next LT Pro" w:hAnsi="Avenir Next LT Pro"/>
                <w:b w:val="0"/>
                <w:color w:val="1C4076"/>
                <w:sz w:val="17"/>
              </w:rPr>
              <w:t>1x Base Fee</w:t>
            </w:r>
          </w:p>
        </w:tc>
        <w:tc>
          <w:tcPr>
            <w:tcW w:type="dxa" w:w="2551"/>
          </w:tcPr>
          <w:p>
            <w:r/>
            <w:r>
              <w:rPr>
                <w:rFonts w:ascii="Avenir Next LT Pro" w:hAnsi="Avenir Next LT Pro"/>
                <w:b w:val="0"/>
                <w:color w:val="1C4076"/>
                <w:sz w:val="17"/>
              </w:rPr>
              <w:t>Up to 0.50x Base Fee</w:t>
            </w:r>
          </w:p>
        </w:tc>
        <w:tc>
          <w:tcPr>
            <w:tcW w:type="dxa" w:w="2551"/>
          </w:tcPr>
          <w:p>
            <w:r/>
            <w:r>
              <w:rPr>
                <w:rFonts w:ascii="Avenir Next LT Pro" w:hAnsi="Avenir Next LT Pro"/>
                <w:b w:val="0"/>
                <w:color w:val="1C4076"/>
                <w:sz w:val="17"/>
              </w:rPr>
              <w:t>Up to 0.25x Base Fee</w:t>
            </w:r>
          </w:p>
        </w:tc>
      </w:tr>
    </w:tbl>
    <w:p>
      <w:pPr>
        <w:spacing w:after="200"/>
        <w:jc w:val="both"/>
      </w:pPr>
      <w:r>
        <w:rPr>
          <w:rFonts w:ascii="Avenir Next LT Pro" w:hAnsi="Avenir Next LT Pro"/>
          <w:b w:val="0"/>
          <w:color w:val="1C4076"/>
          <w:sz w:val="22"/>
        </w:rPr>
        <w:t>3.2 Incentive pay</w:t>
      </w:r>
    </w:p>
    <w:p>
      <w:pPr>
        <w:spacing w:after="200"/>
        <w:jc w:val="both"/>
      </w:pPr>
      <w:r>
        <w:rPr>
          <w:rFonts w:ascii="Avenir Next LT Pro" w:hAnsi="Avenir Next LT Pro"/>
          <w:b w:val="0"/>
          <w:color w:val="1C4076"/>
          <w:sz w:val="22"/>
        </w:rPr>
        <w:t>The Board of Directors shall not receive any incentive pay from the Company.</w:t>
      </w:r>
    </w:p>
    <w:p>
      <w:pPr>
        <w:spacing w:after="200"/>
        <w:jc w:val="both"/>
      </w:pPr>
      <w:r>
        <w:rPr>
          <w:rFonts w:ascii="Avenir Next LT Pro" w:hAnsi="Avenir Next LT Pro"/>
          <w:b w:val="0"/>
          <w:color w:val="1C4076"/>
          <w:sz w:val="22"/>
        </w:rPr>
        <w:t>3.3 Ad-hoc tasks</w:t>
      </w:r>
    </w:p>
    <w:p>
      <w:pPr>
        <w:spacing w:after="200"/>
        <w:jc w:val="both"/>
      </w:pPr>
      <w:r>
        <w:rPr>
          <w:rFonts w:ascii="Avenir Next LT Pro" w:hAnsi="Avenir Next LT Pro"/>
          <w:b w:val="0"/>
          <w:color w:val="1C4076"/>
          <w:sz w:val="22"/>
        </w:rP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 for the financial year, including any additional fixed fees to the Chair, the Vice Chair and board committee members. Any ad hoc fees paid to the members of the Board of Directors will be disclosed in the Company’s remuneration report.</w:t>
      </w:r>
    </w:p>
    <w:p>
      <w:pPr>
        <w:spacing w:after="200"/>
        <w:jc w:val="both"/>
      </w:pPr>
      <w:r>
        <w:rPr>
          <w:rFonts w:ascii="Avenir Next LT Pro" w:hAnsi="Avenir Next LT Pro"/>
          <w:b w:val="0"/>
          <w:color w:val="1C4076"/>
          <w:sz w:val="22"/>
        </w:rPr>
        <w:t>3.4 Benefits and reimbursement of expenses</w:t>
      </w:r>
    </w:p>
    <w:p>
      <w:pPr>
        <w:spacing w:after="200"/>
        <w:jc w:val="both"/>
      </w:pPr>
      <w:r>
        <w:rPr>
          <w:rFonts w:ascii="Avenir Next LT Pro" w:hAnsi="Avenir Next LT Pro"/>
          <w:b w:val="0"/>
          <w:color w:val="1C4076"/>
          <w:sz w:val="22"/>
        </w:rPr>
        <w:t>Expenses such as travel and accommodation relating to board meetings, meetings of board committees and in connection with the performance of specific tasks assigned by the Board of Directors as well as relevant training may be reimbursed by the Company.</w:t>
      </w:r>
    </w:p>
    <w:p>
      <w:pPr>
        <w:spacing w:after="200"/>
        <w:jc w:val="both"/>
      </w:pPr>
      <w:r>
        <w:rPr>
          <w:rFonts w:ascii="Avenir Next LT Pro" w:hAnsi="Avenir Next LT Pro"/>
          <w:b w:val="0"/>
          <w:color w:val="1C4076"/>
          <w:sz w:val="22"/>
        </w:rPr>
        <w:t>The Company may offer to cover social security contributions to the extent imposed by foreign national authorities in relation to fixed fees and reimbursable expenses.</w:t>
      </w:r>
    </w:p>
    <w:p>
      <w:pPr>
        <w:spacing w:after="200"/>
        <w:jc w:val="both"/>
      </w:pPr>
      <w:r>
        <w:rPr>
          <w:rFonts w:ascii="Avenir Next LT Pro" w:hAnsi="Avenir Next LT Pro"/>
          <w:b w:val="0"/>
          <w:color w:val="1C4076"/>
          <w:sz w:val="22"/>
        </w:rPr>
        <w:t>3.5 Term</w:t>
      </w:r>
    </w:p>
    <w:p>
      <w:pPr>
        <w:spacing w:after="200"/>
        <w:jc w:val="both"/>
      </w:pPr>
      <w:r>
        <w:rPr>
          <w:rFonts w:ascii="Avenir Next LT Pro" w:hAnsi="Avenir Next LT Pro"/>
          <w:b w:val="0"/>
          <w:color w:val="1C4076"/>
          <w:sz w:val="22"/>
        </w:rPr>
        <w:t>Members of the Board of Directors are elected by the general meeting for a term of one year. Re-election may take place. Members of the Board of Directors are not entitled to separate payments in relation to their resignation from the Board of Directors.</w:t>
      </w:r>
    </w:p>
    <w:p>
      <w:pPr>
        <w:keepNext/>
        <w:spacing w:before="260" w:after="160"/>
      </w:pPr>
      <w:r>
        <w:rPr>
          <w:rFonts w:ascii="Avenir Next LT Pro" w:hAnsi="Avenir Next LT Pro"/>
          <w:b/>
          <w:color w:val="1C4076"/>
          <w:sz w:val="28"/>
        </w:rPr>
        <w:t>4 Remuneration of Executive Management</w:t>
      </w:r>
    </w:p>
    <w:p>
      <w:pPr>
        <w:spacing w:after="200"/>
        <w:jc w:val="both"/>
      </w:pPr>
      <w:r>
        <w:rPr>
          <w:rFonts w:ascii="Avenir Next LT Pro" w:hAnsi="Avenir Next LT Pro"/>
          <w:b w:val="0"/>
          <w:color w:val="1C4076"/>
          <w:sz w:val="22"/>
        </w:rP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members of the Executive Management, taking into account the qualifications and performance of the individual members.</w:t>
      </w:r>
    </w:p>
    <w:p>
      <w:pPr>
        <w:spacing w:after="200"/>
        <w:jc w:val="both"/>
      </w:pPr>
      <w:r>
        <w:rPr>
          <w:rFonts w:ascii="Avenir Next LT Pro" w:hAnsi="Avenir Next LT Pro"/>
          <w:b w:val="0"/>
          <w:color w:val="1C4076"/>
          <w:sz w:val="22"/>
        </w:rPr>
        <w:t>4.1 Fixed pay</w:t>
      </w:r>
    </w:p>
    <w:p>
      <w:pPr>
        <w:spacing w:after="200"/>
        <w:jc w:val="both"/>
      </w:pPr>
      <w:r>
        <w:rPr>
          <w:rFonts w:ascii="Avenir Next LT Pro" w:hAnsi="Avenir Next LT Pro"/>
          <w:b w:val="0"/>
          <w:color w:val="1C4076"/>
          <w:sz w:val="22"/>
        </w:rPr>
        <w:t>Members of the Executive Management receive a fixed annual cash base salary. The fixed annual cash base salary is consistent with the market level.</w:t>
      </w:r>
    </w:p>
    <w:p>
      <w:pPr>
        <w:spacing w:after="200"/>
        <w:jc w:val="both"/>
      </w:pPr>
      <w:r>
        <w:rPr>
          <w:rFonts w:ascii="Avenir Next LT Pro" w:hAnsi="Avenir Next LT Pro"/>
          <w:b w:val="0"/>
          <w:color w:val="1C4076"/>
          <w:sz w:val="22"/>
        </w:rPr>
        <w:t>4.2 Pension and benefits</w:t>
      </w:r>
    </w:p>
    <w:p>
      <w:pPr>
        <w:spacing w:after="200"/>
        <w:jc w:val="both"/>
      </w:pPr>
      <w:r>
        <w:rPr>
          <w:rFonts w:ascii="Avenir Next LT Pro" w:hAnsi="Avenir Next LT Pro"/>
          <w:b w:val="0"/>
          <w:color w:val="1C4076"/>
          <w:sz w:val="22"/>
        </w:rPr>
        <w:t>4.2.1 Pension</w:t>
      </w:r>
    </w:p>
    <w:p>
      <w:pPr>
        <w:spacing w:after="200"/>
        <w:jc w:val="both"/>
      </w:pPr>
      <w:r>
        <w:rPr>
          <w:rFonts w:ascii="Avenir Next LT Pro" w:hAnsi="Avenir Next LT Pro"/>
          <w:b w:val="0"/>
          <w:color w:val="1C4076"/>
          <w:sz w:val="22"/>
        </w:rPr>
        <w:t>Members of the Executive Management may be covered by the Company’s general pension plan under which both the Company and the member of Executive Management will contribute to the pension payments. The value of the Company’s pension contribution may not exceed 12% of the fixed annual cash base salary.</w:t>
      </w:r>
    </w:p>
    <w:p>
      <w:pPr>
        <w:spacing w:after="200"/>
        <w:jc w:val="both"/>
      </w:pPr>
      <w:r>
        <w:rPr>
          <w:rFonts w:ascii="Avenir Next LT Pro" w:hAnsi="Avenir Next LT Pro"/>
          <w:b w:val="0"/>
          <w:color w:val="1C4076"/>
          <w:sz w:val="22"/>
        </w:rPr>
        <w:t>4.2.2 Benefits</w:t>
      </w:r>
    </w:p>
    <w:p>
      <w:pPr>
        <w:spacing w:after="200"/>
        <w:jc w:val="both"/>
      </w:pPr>
      <w:r>
        <w:rPr>
          <w:rFonts w:ascii="Avenir Next LT Pro" w:hAnsi="Avenir Next LT Pro"/>
          <w:b w:val="0"/>
          <w:color w:val="1C4076"/>
          <w:sz w:val="22"/>
        </w:rP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pPr>
        <w:spacing w:after="200"/>
        <w:jc w:val="both"/>
      </w:pPr>
      <w:r>
        <w:rPr>
          <w:rFonts w:ascii="Avenir Next LT Pro" w:hAnsi="Avenir Next LT Pro"/>
          <w:b w:val="0"/>
          <w:color w:val="1C4076"/>
          <w:sz w:val="22"/>
        </w:rPr>
        <w:t>4.3 Incentive pay</w:t>
      </w:r>
    </w:p>
    <w:p>
      <w:pPr>
        <w:spacing w:after="200"/>
        <w:jc w:val="both"/>
      </w:pPr>
      <w:r>
        <w:rPr>
          <w:rFonts w:ascii="Avenir Next LT Pro" w:hAnsi="Avenir Next LT Pro"/>
          <w:b w:val="0"/>
          <w:color w:val="1C4076"/>
          <w:sz w:val="22"/>
        </w:rPr>
        <w:t>4.3.1 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pPr>
        <w:spacing w:after="200"/>
        <w:jc w:val="both"/>
      </w:pPr>
      <w:r>
        <w:rPr>
          <w:rFonts w:ascii="Avenir Next LT Pro" w:hAnsi="Avenir Next LT Pro"/>
          <w:b w:val="0"/>
          <w:color w:val="1C4076"/>
          <w:sz w:val="22"/>
        </w:rPr>
        <w:t>4.3.2 The Board of Directors may lay down specific terms governing the lapse of incentive arrangements or repayment of incentive pay (clawback) as well as accelerated vesting or exercise, and adjustment of the incentive arrangements, exercise price, performance targets, etc.</w:t>
      </w:r>
    </w:p>
    <w:p>
      <w:pPr>
        <w:spacing w:after="200"/>
        <w:jc w:val="both"/>
      </w:pPr>
      <w:r>
        <w:rPr>
          <w:rFonts w:ascii="Avenir Next LT Pro" w:hAnsi="Avenir Next LT Pro"/>
          <w:b w:val="0"/>
          <w:color w:val="1C4076"/>
          <w:sz w:val="22"/>
        </w:rPr>
        <w:t>4.3.3 When determining the size and composition of the incentive arrangements and the split between the total awarded incentives and the fixed payment, the Board of Directors shall carefully consider the overall principles of the Remuneration Policy, including the aim of supporting the achievement of the Group’s strategic long- and short-term goals.</w:t>
      </w:r>
    </w:p>
    <w:p>
      <w:pPr>
        <w:spacing w:after="200"/>
        <w:jc w:val="both"/>
      </w:pPr>
      <w:r>
        <w:rPr>
          <w:rFonts w:ascii="Avenir Next LT Pro" w:hAnsi="Avenir Next LT Pro"/>
          <w:b/>
          <w:color w:val="1C4076"/>
          <w:sz w:val="22"/>
        </w:rPr>
        <w:t>4.3.4 Short-term incentives</w:t>
      </w:r>
    </w:p>
    <w:p>
      <w:pPr>
        <w:spacing w:after="200"/>
        <w:jc w:val="both"/>
      </w:pPr>
      <w:r>
        <w:rPr>
          <w:rFonts w:ascii="Avenir Next LT Pro" w:hAnsi="Avenir Next LT Pro"/>
          <w:b w:val="0"/>
          <w:color w:val="1C4076"/>
          <w:sz w:val="22"/>
        </w:rPr>
        <w:t>4.3.4.1 The short-term incentive consists of a cash-based bonus designed to incentivise and encourage the members of Executive Management to perform in alignment with the Group's short-term objectives.</w:t>
      </w:r>
    </w:p>
    <w:p>
      <w:pPr>
        <w:spacing w:after="200"/>
        <w:jc w:val="both"/>
      </w:pPr>
      <w:r>
        <w:rPr>
          <w:rFonts w:ascii="Avenir Next LT Pro" w:hAnsi="Avenir Next LT Pro"/>
          <w:b w:val="0"/>
          <w:color w:val="1C4076"/>
          <w:sz w:val="22"/>
        </w:rPr>
        <w:t>4.3.4.2 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non-financial KPIs, that may include ESG/sustainability related objectives as well as individual performance targets. The specific criteria as well as the weight of each criteria may vary from year to year as determined by the Board of Directors.</w:t>
      </w:r>
    </w:p>
    <w:p>
      <w:pPr>
        <w:spacing w:after="200"/>
        <w:jc w:val="both"/>
      </w:pPr>
      <w:r>
        <w:rPr>
          <w:rFonts w:ascii="Avenir Next LT Pro" w:hAnsi="Avenir Next LT Pro"/>
          <w:b w:val="0"/>
          <w:color w:val="1C4076"/>
          <w:sz w:val="22"/>
        </w:rPr>
        <w:t>4.3.4.3 The actual payout under the annual cash bonus for a financial year will be decided by the Board of Directors upon recommendation from the Remuneration and Nomination Committee based on assessment of achievement of the pre-established KPIs.</w:t>
      </w:r>
    </w:p>
    <w:p>
      <w:pPr>
        <w:spacing w:after="200"/>
        <w:jc w:val="both"/>
      </w:pPr>
      <w:r>
        <w:rPr>
          <w:rFonts w:ascii="Avenir Next LT Pro" w:hAnsi="Avenir Next LT Pro"/>
          <w:b w:val="0"/>
          <w:color w:val="1C4076"/>
          <w:sz w:val="22"/>
        </w:rPr>
        <w:t>4.3.4.4 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pPr>
        <w:spacing w:after="200"/>
        <w:jc w:val="both"/>
      </w:pPr>
      <w:r>
        <w:rPr>
          <w:rFonts w:ascii="Avenir Next LT Pro" w:hAnsi="Avenir Next LT Pro"/>
          <w:b w:val="0"/>
          <w:color w:val="1C4076"/>
          <w:sz w:val="22"/>
        </w:rPr>
        <w:t>4.3.4.5 In case of extraordinary circumstances and/or unforeseen events significantly impacting for example the Company’s financial performance, strategy, or environment or society, the Board of Directors can decide to amend or deviate from the pre-defined performance targets and metrics if required to support the purpose of this Remuneration Policy.</w:t>
      </w:r>
    </w:p>
    <w:p>
      <w:pPr>
        <w:spacing w:after="200"/>
        <w:jc w:val="both"/>
      </w:pPr>
      <w:r>
        <w:rPr>
          <w:rFonts w:ascii="Avenir Next LT Pro" w:hAnsi="Avenir Next LT Pro"/>
          <w:b/>
          <w:color w:val="1C4076"/>
          <w:sz w:val="22"/>
        </w:rPr>
        <w:t>4.3.5 Long-term incentives</w:t>
      </w:r>
    </w:p>
    <w:p>
      <w:pPr>
        <w:spacing w:after="200"/>
        <w:jc w:val="both"/>
      </w:pPr>
      <w:r>
        <w:rPr>
          <w:rFonts w:ascii="Avenir Next LT Pro" w:hAnsi="Avenir Next LT Pro"/>
          <w:b w:val="0"/>
          <w:color w:val="1C4076"/>
          <w:sz w:val="22"/>
        </w:rPr>
        <w:t>4.3.5.1 The long-term incentives are designed to incentivise long-term performance, commitment and retention of the members of Executive Management, as well as to promote alignment of their interests with those of the shareholders.</w:t>
      </w:r>
    </w:p>
    <w:p>
      <w:pPr>
        <w:spacing w:after="200"/>
        <w:jc w:val="both"/>
      </w:pPr>
      <w:r>
        <w:rPr>
          <w:rFonts w:ascii="Avenir Next LT Pro" w:hAnsi="Avenir Next LT Pro"/>
          <w:b w:val="0"/>
          <w:color w:val="1C4076"/>
          <w:sz w:val="22"/>
        </w:rPr>
        <w:t>4.3.5.2 Members of the Executive Management may be offered to participate in either a cash-based long-term incentive programme or a share based long-term incentive programme. The value at grant of long-term incentives for a financial year may be up to 150% of the fixed annual cash base salary for the recipient.</w:t>
      </w:r>
    </w:p>
    <w:p>
      <w:pPr>
        <w:spacing w:after="200"/>
        <w:jc w:val="both"/>
      </w:pPr>
      <w:r>
        <w:rPr>
          <w:rFonts w:ascii="Avenir Next LT Pro" w:hAnsi="Avenir Next LT Pro"/>
          <w:b w:val="0"/>
          <w:color w:val="1C4076"/>
          <w:sz w:val="22"/>
        </w:rPr>
        <w:t>4.3.5.3 In case of extraordinary circumstances and/or unforeseen events significantly impacting for example the Company’s financial performance, strategy, or environment or society, the Board of Directors can decide to deviate from principles applicable to any long-term incentive set out in this section.</w:t>
      </w:r>
    </w:p>
    <w:p>
      <w:pPr>
        <w:spacing w:after="200"/>
        <w:jc w:val="both"/>
      </w:pPr>
      <w:r>
        <w:rPr>
          <w:rFonts w:ascii="Avenir Next LT Pro" w:hAnsi="Avenir Next LT Pro"/>
          <w:b w:val="0"/>
          <w:color w:val="1C4076"/>
          <w:sz w:val="22"/>
        </w:rPr>
        <w:t>4.3.5.4 Cash-based long-term incentive</w:t>
      </w:r>
    </w:p>
    <w:p>
      <w:pPr>
        <w:pStyle w:val="ListBullet"/>
        <w:spacing w:after="80"/>
      </w:pPr>
      <w:r>
        <w:rPr>
          <w:rFonts w:ascii="Avenir Next LT Pro" w:hAnsi="Avenir Next LT Pro"/>
          <w:b w:val="0"/>
          <w:color w:val="1C4076"/>
          <w:sz w:val="22"/>
        </w:rPr>
        <w:t>(a) 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w:t>
      </w:r>
    </w:p>
    <w:p>
      <w:pPr>
        <w:pStyle w:val="ListBullet"/>
        <w:spacing w:after="80"/>
      </w:pPr>
      <w:r>
        <w:rPr>
          <w:rFonts w:ascii="Avenir Next LT Pro" w:hAnsi="Avenir Next LT Pro"/>
          <w:b w:val="0"/>
          <w:color w:val="1C4076"/>
          <w:sz w:val="22"/>
        </w:rPr>
        <w:t>(b) The long-term cash-based incentive is granted each year for a three-year period and at the same time the selected KPIs as well as the weight of each criteria are reviewed, determined and, if deemed appropriate, adjusted by the Board of Directors.</w:t>
      </w:r>
    </w:p>
    <w:p>
      <w:pPr>
        <w:pStyle w:val="ListBullet"/>
        <w:spacing w:after="80"/>
      </w:pPr>
      <w:r>
        <w:rPr>
          <w:rFonts w:ascii="Avenir Next LT Pro" w:hAnsi="Avenir Next LT Pro"/>
          <w:b w:val="0"/>
          <w:color w:val="1C4076"/>
          <w:sz w:val="22"/>
        </w:rPr>
        <w:t>(c) 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pPr>
        <w:pStyle w:val="ListBullet"/>
        <w:spacing w:after="80"/>
      </w:pPr>
      <w:r>
        <w:rPr>
          <w:rFonts w:ascii="Avenir Next LT Pro" w:hAnsi="Avenir Next LT Pro"/>
          <w:b w:val="0"/>
          <w:color w:val="1C4076"/>
          <w:sz w:val="22"/>
        </w:rPr>
        <w:t>(d) The long-term cash-based incentive payout will generally be made following the Board of Directors’ approval of the annual report for the last financial year of the three year performance period.</w:t>
      </w:r>
    </w:p>
    <w:p>
      <w:pPr>
        <w:spacing w:after="200"/>
        <w:jc w:val="both"/>
      </w:pPr>
      <w:r>
        <w:rPr>
          <w:rFonts w:ascii="Avenir Next LT Pro" w:hAnsi="Avenir Next LT Pro"/>
          <w:b w:val="0"/>
          <w:color w:val="1C4076"/>
          <w:sz w:val="22"/>
        </w:rPr>
        <w:t>4.3.5.5  Share based long-term incentives</w:t>
      </w:r>
    </w:p>
    <w:p>
      <w:pPr>
        <w:pStyle w:val="ListBullet"/>
        <w:spacing w:after="80"/>
      </w:pPr>
      <w:r>
        <w:rPr>
          <w:rFonts w:ascii="Avenir Next LT Pro" w:hAnsi="Avenir Next LT Pro"/>
          <w:b w:val="0"/>
          <w:color w:val="1C4076"/>
          <w:sz w:val="22"/>
        </w:rPr>
        <w:t>(a) Members of Executive Management may be eligible to receive long-term incentives in the form of RSUs or PSUs. The programmes are designed to further align management compensation with the long-term interests of the shareholders and the performance of the Company by linking a higher proportion of annual pay to the share price development of the Company as well as certain performance targets with respect to PSUs. Further, the programmes support the Company’s long term business model and strategy.</w:t>
      </w:r>
    </w:p>
    <w:p>
      <w:pPr>
        <w:pStyle w:val="ListBullet"/>
        <w:spacing w:after="80"/>
      </w:pPr>
      <w:r>
        <w:rPr>
          <w:rFonts w:ascii="Avenir Next LT Pro" w:hAnsi="Avenir Next LT Pro"/>
          <w:b w:val="0"/>
          <w:color w:val="1C4076"/>
          <w:sz w:val="22"/>
        </w:rPr>
        <w:t>(b) The programmes are revolving and shall have a vesting or maturity period of three years from the relevant date of grant until the time they vest or mature. The vesting or maturity period shall be determined by the Board of Directors prior to grant.</w:t>
      </w:r>
    </w:p>
    <w:p>
      <w:pPr>
        <w:pStyle w:val="ListBullet"/>
        <w:spacing w:after="80"/>
      </w:pPr>
      <w:r>
        <w:rPr>
          <w:rFonts w:ascii="Avenir Next LT Pro" w:hAnsi="Avenir Next LT Pro"/>
          <w:b w:val="0"/>
          <w:color w:val="1C4076"/>
          <w:sz w:val="22"/>
        </w:rPr>
        <w:t>(c) Grant of RSUs does not depend on the achievement of specific goals whereas grant of PSUs shall be subject to achievement of specific goals, that may include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as financial targets such as EBIT, EBITDA, return on invested 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pPr>
        <w:pStyle w:val="ListBullet"/>
        <w:spacing w:after="80"/>
      </w:pPr>
      <w:r>
        <w:rPr>
          <w:rFonts w:ascii="Avenir Next LT Pro" w:hAnsi="Avenir Next LT Pro"/>
          <w:b w:val="0"/>
          <w:color w:val="1C4076"/>
          <w:sz w:val="22"/>
        </w:rPr>
        <w:t>(d) The Company intends to use treasury shares to meet its obligations in relation to long-term share-based incentives. The Board of Directors may decide to satisfy a grant in cash if deemed appropriate.</w:t>
      </w:r>
    </w:p>
    <w:p>
      <w:pPr>
        <w:pStyle w:val="ListBullet"/>
        <w:spacing w:after="80"/>
      </w:pPr>
      <w:r>
        <w:rPr>
          <w:rFonts w:ascii="Avenir Next LT Pro" w:hAnsi="Avenir Next LT Pro"/>
          <w:b w:val="0"/>
          <w:color w:val="1C4076"/>
          <w:sz w:val="22"/>
        </w:rPr>
        <w:t>(e) In line with market practice, share-based incentives shall be subject to good leaver and bad leaver provisions.</w:t>
      </w:r>
    </w:p>
    <w:p>
      <w:pPr>
        <w:spacing w:after="200"/>
        <w:jc w:val="both"/>
      </w:pPr>
      <w:r>
        <w:rPr>
          <w:rFonts w:ascii="Avenir Next LT Pro" w:hAnsi="Avenir Next LT Pro"/>
          <w:b w:val="0"/>
          <w:color w:val="1C4076"/>
          <w:sz w:val="22"/>
        </w:rPr>
        <w:t>4.3.6 Adjustment and repayment of incentive-based remuneration</w:t>
      </w:r>
    </w:p>
    <w:p>
      <w:pPr>
        <w:spacing w:after="200"/>
        <w:jc w:val="both"/>
      </w:pPr>
      <w:r>
        <w:rPr>
          <w:rFonts w:ascii="Avenir Next LT Pro" w:hAnsi="Avenir Next LT Pro"/>
          <w:b w:val="0"/>
          <w:color w:val="1C4076"/>
          <w:sz w:val="22"/>
        </w:rPr>
        <w:t>4.3.6.1 In case of extraordinary events, the Board of Directors may lay down specific terms for incentive-based remuneration governing the lapsing, repayment, capping of ultimate gains or other adjustments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influence the value or effect of the incentive-based remuneration.</w:t>
      </w:r>
    </w:p>
    <w:p>
      <w:pPr>
        <w:spacing w:after="200"/>
        <w:jc w:val="both"/>
      </w:pPr>
      <w:r>
        <w:rPr>
          <w:rFonts w:ascii="Avenir Next LT Pro" w:hAnsi="Avenir Next LT Pro"/>
          <w:b w:val="0"/>
          <w:color w:val="1C4076"/>
          <w:sz w:val="22"/>
        </w:rPr>
        <w:t>4.3.7 Extraordinary incentives</w:t>
      </w:r>
    </w:p>
    <w:p>
      <w:pPr>
        <w:spacing w:after="200"/>
        <w:jc w:val="both"/>
      </w:pPr>
      <w:r>
        <w:rPr>
          <w:rFonts w:ascii="Avenir Next LT Pro" w:hAnsi="Avenir Next LT Pro"/>
          <w:b w:val="0"/>
          <w:color w:val="1C4076"/>
          <w:sz w:val="22"/>
        </w:rPr>
        <w:t>4.3.7.1 The Board of Directors may, in individual cases, grant one-off bonuses or other extraordinary incentives, e.g. retention bonus, severance payment, sign-on bonus, transaction bonus or other similar arrangements, provided that such extraordinary incentive is deemed necessary in order to meet the overall objectives of the Remuneration Policy.</w:t>
      </w:r>
    </w:p>
    <w:p>
      <w:pPr>
        <w:spacing w:after="200"/>
        <w:jc w:val="both"/>
      </w:pPr>
      <w:r>
        <w:rPr>
          <w:rFonts w:ascii="Avenir Next LT Pro" w:hAnsi="Avenir Next LT Pro"/>
          <w:b w:val="0"/>
          <w:color w:val="1C4076"/>
          <w:sz w:val="22"/>
        </w:rPr>
        <w:t>4.3.7.2 The value at grant of such extraordinary incentives for a financial year may not exceed an amount corresponding to 100% of the fixed annual cash base salary. Such grant may be cash and/or share-based remuneration. The Board of Directors may decide whether grant and/or vesting shall be subject to fulfilment of certain pre-defined targets as well as other terms which may deviate from the terms applicable to ordinary incentives. Any extraordinary remuneration will be described in the Company’s remuneration report.</w:t>
      </w:r>
    </w:p>
    <w:p>
      <w:pPr>
        <w:spacing w:after="200"/>
        <w:jc w:val="both"/>
      </w:pPr>
      <w:r>
        <w:rPr>
          <w:rFonts w:ascii="Avenir Next LT Pro" w:hAnsi="Avenir Next LT Pro"/>
          <w:b w:val="0"/>
          <w:color w:val="1C4076"/>
          <w:sz w:val="22"/>
        </w:rPr>
        <w:t>4.3.8 Clawback</w:t>
      </w:r>
    </w:p>
    <w:p>
      <w:pPr>
        <w:spacing w:after="200"/>
        <w:jc w:val="both"/>
      </w:pPr>
      <w:r>
        <w:rPr>
          <w:rFonts w:ascii="Avenir Next LT Pro" w:hAnsi="Avenir Next LT Pro"/>
          <w:b w:val="0"/>
          <w:color w:val="1C4076"/>
          <w:sz w:val="22"/>
        </w:rPr>
        <w:t>4.3.8.1 The Company has the option of withholding or reclaiming, in full or in part, granted incentive remuneration in certain situations, including where incentive remuneration was awarded or paid out on the basis of information which is subsequently proved to be clearly or materially misstated or if a member of Executive Management is deemed to have caused a material loss to the Company due to willful misconduct or gross negligence or acting in bad faith in respect of other matters which implied payment of a too large incentive-based remuneration.</w:t>
      </w:r>
    </w:p>
    <w:p>
      <w:pPr>
        <w:keepNext/>
        <w:spacing w:before="260" w:after="160"/>
      </w:pPr>
      <w:r>
        <w:rPr>
          <w:rFonts w:ascii="Avenir Next LT Pro" w:hAnsi="Avenir Next LT Pro"/>
          <w:b/>
          <w:color w:val="1C4076"/>
          <w:sz w:val="28"/>
        </w:rPr>
        <w:t>5 Service agreements</w:t>
      </w:r>
    </w:p>
    <w:p>
      <w:pPr>
        <w:spacing w:after="200"/>
        <w:jc w:val="both"/>
      </w:pPr>
      <w:r>
        <w:rPr>
          <w:rFonts w:ascii="Avenir Next LT Pro" w:hAnsi="Avenir Next LT Pro"/>
          <w:b w:val="0"/>
          <w:color w:val="1C4076"/>
          <w:sz w:val="22"/>
        </w:rPr>
        <w:t>5.1 Members of the Executive Management are employed on individual contracts, which are generally entered into on an indefinite term with a mutual right of termination. The notice period may be up to 6 months for the member of the Executive Management and up to 18 months for the Company.</w:t>
      </w:r>
    </w:p>
    <w:p>
      <w:pPr>
        <w:spacing w:after="200"/>
        <w:jc w:val="both"/>
      </w:pPr>
      <w:r>
        <w:rPr>
          <w:rFonts w:ascii="Avenir Next LT Pro" w:hAnsi="Avenir Next LT Pro"/>
          <w:b w:val="0"/>
          <w:color w:val="1C4076"/>
          <w:sz w:val="22"/>
        </w:rPr>
        <w:t>5.2 Remuneration paid to a member of the Executive Management during a notice period, including any severance payment, may not exceed two years’ remuneration, including all remuneration components.</w:t>
      </w:r>
    </w:p>
    <w:p>
      <w:pPr>
        <w:keepNext/>
        <w:spacing w:before="260" w:after="160"/>
      </w:pPr>
      <w:r>
        <w:rPr>
          <w:rFonts w:ascii="Avenir Next LT Pro" w:hAnsi="Avenir Next LT Pro"/>
          <w:b/>
          <w:color w:val="1C4076"/>
          <w:sz w:val="28"/>
        </w:rPr>
        <w:t>6 D&amp;O insurance and indemnification</w:t>
      </w:r>
    </w:p>
    <w:p>
      <w:pPr>
        <w:spacing w:after="200"/>
        <w:jc w:val="both"/>
      </w:pPr>
      <w:r>
        <w:rPr>
          <w:rFonts w:ascii="Avenir Next LT Pro" w:hAnsi="Avenir Next LT Pro"/>
          <w:b w:val="0"/>
          <w:color w:val="1C4076"/>
          <w:sz w:val="22"/>
        </w:rPr>
        <w:t>6.1 The Company has taken out customary directors and officers liability insurance (D&amp;O insurance) covering the Board of Directors and the Executive Management.</w:t>
      </w:r>
    </w:p>
    <w:p>
      <w:pPr>
        <w:spacing w:after="200"/>
        <w:jc w:val="both"/>
      </w:pPr>
      <w:r>
        <w:rPr>
          <w:rFonts w:ascii="Avenir Next LT Pro" w:hAnsi="Avenir Next LT Pro"/>
          <w:b w:val="0"/>
          <w:color w:val="1C4076"/>
          <w:sz w:val="22"/>
        </w:rPr>
        <w:t>6.2 The Board of Directors and the Executive Management will also be covered to the extent that the shareholders in general meeting have adopted an indemnification scheme under which the Company undertakes to indemnify each member of the Board of Directors and the Executive Management for any loss (including costs, expenses and potential tax liabilities related thereto) incurred by such member of the Board of Directors and/or the Executive Management as a result of such person’s performance of his or her duties as a member of the Board of Directors or the Executive Management.</w:t>
      </w:r>
    </w:p>
    <w:p>
      <w:pPr>
        <w:keepNext/>
        <w:spacing w:before="260" w:after="160"/>
      </w:pPr>
      <w:r>
        <w:rPr>
          <w:rFonts w:ascii="Avenir Next LT Pro" w:hAnsi="Avenir Next LT Pro"/>
          <w:b/>
          <w:color w:val="1C4076"/>
          <w:sz w:val="28"/>
        </w:rPr>
        <w:t>7 Deviations</w:t>
      </w:r>
    </w:p>
    <w:p>
      <w:pPr>
        <w:spacing w:after="200"/>
        <w:jc w:val="both"/>
      </w:pPr>
      <w:r>
        <w:rPr>
          <w:rFonts w:ascii="Avenir Next LT Pro" w:hAnsi="Avenir Next LT Pro"/>
          <w:b w:val="0"/>
          <w:color w:val="1C4076"/>
          <w:sz w:val="22"/>
        </w:rPr>
        <w:t>7.1 In extraordinary circumstances, the Board of Directors may decide to deviate from the specific requirements of the Remuneration Policy on an individual basis in order to attain the overall objectives of the Remuneration Policy and safeguard the long-term interests of the Company and its shareholders. Such deviations may include one-off bonuses, changes to the relative proportion of the remuneration components, including any ad hoc fees, changes to the vesting and exercise period of incentive programmes, changes to the maximum value of short-term incentives, changes to the long-term incentive programmes, including maximum value, amendment of KPIs, duration and leaver provisions of the programmes, maximum on severance pay, other type of benefits in addition to the customary benefit allowance as well as changes to the term and termination provisions of contracts entered into with members of Executive Management.</w:t>
      </w:r>
    </w:p>
    <w:p>
      <w:pPr>
        <w:spacing w:after="200"/>
        <w:jc w:val="both"/>
      </w:pPr>
      <w:r>
        <w:rPr>
          <w:rFonts w:ascii="Avenir Next LT Pro" w:hAnsi="Avenir Next LT Pro"/>
          <w:b w:val="0"/>
          <w:color w:val="1C4076"/>
          <w:sz w:val="22"/>
        </w:rPr>
        <w:t>7.2 Deviations are subject to prior approval by the Board of Directors and shall be explained in the Company’s remuneration report.</w:t>
      </w:r>
    </w:p>
    <w:p>
      <w:pPr>
        <w:keepNext/>
        <w:spacing w:before="260" w:after="160"/>
      </w:pPr>
      <w:r>
        <w:rPr>
          <w:rFonts w:ascii="Avenir Next LT Pro" w:hAnsi="Avenir Next LT Pro"/>
          <w:b/>
          <w:color w:val="1C4076"/>
          <w:sz w:val="28"/>
        </w:rPr>
        <w:t>8 Remuneration to the Company’s other employees</w:t>
      </w:r>
    </w:p>
    <w:p>
      <w:pPr>
        <w:spacing w:after="200"/>
        <w:jc w:val="both"/>
      </w:pPr>
      <w:r>
        <w:rPr>
          <w:rFonts w:ascii="Avenir Next LT Pro" w:hAnsi="Avenir Next LT Pro"/>
          <w:b w:val="0"/>
          <w:color w:val="1C4076"/>
          <w:sz w:val="22"/>
        </w:rPr>
        <w:t>8.1 In connection with the preparation of this Remuneration Policy, the Board of Directors has taken into account the terms of employment and remuneration of employees of the Company other than the Board of Directors and Executive Management in order to ensure a proper balance between the remuneration of the Executive Management and the Company’s other employees.</w:t>
      </w:r>
    </w:p>
    <w:p>
      <w:pPr>
        <w:spacing w:after="200"/>
        <w:jc w:val="both"/>
      </w:pPr>
      <w:r>
        <w:rPr>
          <w:rFonts w:ascii="Avenir Next LT Pro" w:hAnsi="Avenir Next LT Pro"/>
          <w:b w:val="0"/>
          <w:color w:val="1C4076"/>
          <w:sz w:val="22"/>
        </w:rPr>
        <w:t>8.2 The Board of Directors believes there is an appropriate balance between remuneration to the Company’s employees and remuneration to the Board of Directors and the Executive Management taking into account market practice for remuneration in appropriate peer companies of comparable size and considering the responsibilities and duties of the members of the Board of Directors and the Executive Management compared to other employees of the Company.</w:t>
      </w:r>
    </w:p>
    <w:p>
      <w:pPr>
        <w:spacing w:after="200"/>
        <w:jc w:val="both"/>
      </w:pPr>
      <w:r>
        <w:rPr>
          <w:rFonts w:ascii="Avenir Next LT Pro" w:hAnsi="Avenir Next LT Pro"/>
          <w:b w:val="0"/>
          <w:color w:val="1C4076"/>
          <w:sz w:val="22"/>
        </w:rPr>
        <w:t>8.3 The Company’s overall objective is to be able to attract, motivate and retain qualified employees who can contribute to promoting the Company’s long-term sustainable value creation. Accordingly, the Company aims to ensure that pay levels and employment terms reflect the individual employee’s function and responsibilities, personal and professional qualifications, efforts and commitment as well as performance.</w:t>
      </w:r>
    </w:p>
    <w:p>
      <w:pPr>
        <w:keepNext/>
        <w:spacing w:before="260" w:after="160"/>
      </w:pPr>
      <w:r>
        <w:rPr>
          <w:rFonts w:ascii="Avenir Next LT Pro" w:hAnsi="Avenir Next LT Pro"/>
          <w:b/>
          <w:color w:val="1C4076"/>
          <w:sz w:val="28"/>
        </w:rPr>
        <w:t>9 Approval process and conflicts of interest</w:t>
      </w:r>
    </w:p>
    <w:p>
      <w:pPr>
        <w:spacing w:after="200"/>
        <w:jc w:val="both"/>
      </w:pPr>
      <w:r>
        <w:rPr>
          <w:rFonts w:ascii="Avenir Next LT Pro" w:hAnsi="Avenir Next LT Pro"/>
          <w:b w:val="0"/>
          <w:color w:val="1C4076"/>
          <w:sz w:val="22"/>
        </w:rPr>
        <w:t>9.1 The Board of Directors has established a Remuneration and Nomination Committee. The Remuneration and Nomination Committee prepares a proposal for a remuneration policy that is submitted to the Board of Directors for approval. The Board of Directors submits the approved remuneration policy to the general meeting for approval.</w:t>
      </w:r>
    </w:p>
    <w:p>
      <w:pPr>
        <w:spacing w:after="200"/>
        <w:jc w:val="both"/>
      </w:pPr>
      <w:r>
        <w:rPr>
          <w:rFonts w:ascii="Avenir Next LT Pro" w:hAnsi="Avenir Next LT Pro"/>
          <w:b w:val="0"/>
          <w:color w:val="1C4076"/>
          <w:sz w:val="22"/>
        </w:rPr>
        <w:t>9.2 The Board of Directors annually reviews the Remuneration Policy based on recommendation from the Remuneration and Nomination Committee. If deemed necessary, the Board of Directors submits a proposal for a revised remuneration policy to the general meeting for approval.</w:t>
      </w:r>
    </w:p>
    <w:p>
      <w:pPr>
        <w:spacing w:after="200"/>
        <w:jc w:val="both"/>
      </w:pPr>
      <w:r>
        <w:rPr>
          <w:rFonts w:ascii="Avenir Next LT Pro" w:hAnsi="Avenir Next LT Pro"/>
          <w:b w:val="0"/>
          <w:color w:val="1C4076"/>
          <w:sz w:val="22"/>
        </w:rPr>
        <w:t>9.3 The Remuneration Policy will be in force for a period of four years from approval, however, the Board of Directors may submit a proposal for a revised remuneration policy to the general meeting for approval at an earlier point, if deemed necessary.</w:t>
      </w:r>
    </w:p>
    <w:p>
      <w:pPr>
        <w:spacing w:after="200"/>
        <w:jc w:val="both"/>
      </w:pPr>
      <w:r>
        <w:rPr>
          <w:rFonts w:ascii="Avenir Next LT Pro" w:hAnsi="Avenir Next LT Pro"/>
          <w:b w:val="0"/>
          <w:color w:val="1C4076"/>
          <w:sz w:val="22"/>
        </w:rPr>
        <w:t>9.4 To avoid conflicts of interests, any remuneration paid to members of the Board of Directors shall be approved by the general meeting. Remuneration paid to members of Executive Management shall be approved by the Board of Directors and must comply with the principles of the Remuneration Policy. Further, any material amendments to the Remuneration Policy are subject to approval of the general meeting.</w:t>
      </w:r>
    </w:p>
    <w:p>
      <w:pPr>
        <w:keepNext/>
        <w:spacing w:before="260" w:after="160"/>
      </w:pPr>
      <w:r>
        <w:rPr>
          <w:rFonts w:ascii="Avenir Next LT Pro" w:hAnsi="Avenir Next LT Pro"/>
          <w:b/>
          <w:color w:val="1C4076"/>
          <w:sz w:val="28"/>
        </w:rPr>
        <w:t>10 Remuneration report</w:t>
      </w:r>
    </w:p>
    <w:p>
      <w:pPr>
        <w:spacing w:after="200"/>
        <w:jc w:val="both"/>
      </w:pPr>
      <w:r>
        <w:rPr>
          <w:rFonts w:ascii="Avenir Next LT Pro" w:hAnsi="Avenir Next LT Pro"/>
          <w:b w:val="0"/>
          <w:color w:val="1C4076"/>
          <w:sz w:val="22"/>
        </w:rPr>
        <w:t>10.1 The Board of Directors shall annually prepare a remuneration report which provides an overview of remuneration paid or due to members of the Board of Directors and the Executive Management on both an aggregate and an individual level. The remuneration report shall be submitted to the general meeting for an advisory vote</w:t>
      </w:r>
    </w:p>
    <w:p>
      <w:pPr>
        <w:keepNext/>
        <w:spacing w:before="260" w:after="160"/>
      </w:pPr>
      <w:r>
        <w:rPr>
          <w:rFonts w:ascii="Avenir Next LT Pro" w:hAnsi="Avenir Next LT Pro"/>
          <w:b/>
          <w:color w:val="1C4076"/>
          <w:sz w:val="28"/>
        </w:rPr>
        <w:t>11 Adoption and publication</w:t>
      </w:r>
    </w:p>
    <w:p>
      <w:pPr>
        <w:spacing w:after="200"/>
        <w:jc w:val="both"/>
      </w:pPr>
      <w:r>
        <w:rPr>
          <w:rFonts w:ascii="Avenir Next LT Pro" w:hAnsi="Avenir Next LT Pro"/>
          <w:b w:val="0"/>
          <w:color w:val="1C4076"/>
          <w:sz w:val="22"/>
        </w:rPr>
        <w:t>11.1 The Remuneration Policy has been adopted on 13 May 2026 at the Company’s extraordinary general meeting and is available on the Company’s website.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Remuneration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