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mhdvbz_x.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val="0"/>
          <w:i w:val="0"/>
          <w:color w:val="1C4076"/>
          <w:sz w:val="22"/>
        </w:rPr>
        <w:t>Living the BioMar brand means communicating with clarity, consistency and a strong sense of purpose. Our tone reflects who we are, what we stand for and how we work across all markets. It strengthens trust in BioMar Group and supports a unified global identity.</w:t>
      </w:r>
    </w:p>
    <w:p>
      <w:pPr>
        <w:spacing w:after="200"/>
        <w:jc w:val="both"/>
      </w:pPr>
      <w:r>
        <w:rPr>
          <w:rFonts w:ascii="Avenir Next LT Pro" w:hAnsi="Avenir Next LT Pro"/>
          <w:b w:val="0"/>
          <w:i w:val="0"/>
          <w:color w:val="1C4076"/>
          <w:sz w:val="22"/>
        </w:rPr>
        <w:t>These guidelines apply to all written communication, including corporate materials, scientific articles, press releases, social media and customer-facing content.</w:t>
      </w:r>
    </w:p>
    <w:p>
      <w:pPr>
        <w:keepNext/>
        <w:spacing w:before="260" w:after="160"/>
      </w:pPr>
      <w:r>
        <w:rPr>
          <w:rFonts w:ascii="Avenir Next LT Pro" w:hAnsi="Avenir Next LT Pro"/>
          <w:b/>
          <w:i w:val="0"/>
          <w:color w:val="1C4076"/>
          <w:sz w:val="28"/>
        </w:rPr>
        <w:t>Our Identity in Words</w:t>
      </w:r>
    </w:p>
    <w:p>
      <w:pPr>
        <w:spacing w:after="200"/>
        <w:jc w:val="both"/>
      </w:pPr>
      <w:r>
        <w:rPr>
          <w:rFonts w:ascii="Avenir Next LT Pro" w:hAnsi="Avenir Next LT Pro"/>
          <w:b w:val="0"/>
          <w:i w:val="0"/>
          <w:color w:val="1C4076"/>
          <w:sz w:val="22"/>
        </w:rPr>
        <w:t xml:space="preserve">Most companies in aquaculture can claim expertise. What distinguishes BioMar is that we work </w:t>
      </w:r>
      <w:r>
        <w:rPr>
          <w:rFonts w:ascii="Avenir Next LT Pro" w:hAnsi="Avenir Next LT Pro"/>
          <w:b w:val="0"/>
          <w:i/>
          <w:color w:val="1C4076"/>
          <w:sz w:val="22"/>
        </w:rPr>
        <w:t>alongside</w:t>
      </w:r>
      <w:r>
        <w:rPr>
          <w:rFonts w:ascii="Avenir Next LT Pro" w:hAnsi="Avenir Next LT Pro"/>
          <w:b w:val="0"/>
          <w:i w:val="0"/>
          <w:color w:val="1C4076"/>
          <w:sz w:val="22"/>
        </w:rPr>
        <w:t xml:space="preserve"> the people who use our feed, and we say only what the science supports.</w:t>
      </w:r>
    </w:p>
    <w:p>
      <w:pPr>
        <w:spacing w:after="200"/>
        <w:jc w:val="both"/>
      </w:pPr>
      <w:r>
        <w:rPr>
          <w:rFonts w:ascii="Avenir Next LT Pro" w:hAnsi="Avenir Next LT Pro"/>
          <w:b w:val="0"/>
          <w:i w:val="0"/>
          <w:color w:val="1C4076"/>
          <w:sz w:val="22"/>
        </w:rPr>
        <w:t>That produces a specific voice. We explain rather than assert. We give the reader the evidence and let it do the persuading. We are willing to describe what we do not yet know, because a partner who overstates today is not trusted tomorrow.</w:t>
      </w:r>
    </w:p>
    <w:p>
      <w:pPr>
        <w:spacing w:after="200"/>
        <w:jc w:val="both"/>
      </w:pPr>
      <w:r>
        <w:rPr>
          <w:rFonts w:ascii="Avenir Next LT Pro" w:hAnsi="Avenir Next LT Pro"/>
          <w:b w:val="0"/>
          <w:i w:val="0"/>
          <w:color w:val="1C4076"/>
          <w:sz w:val="22"/>
        </w:rPr>
        <w:t>We write as a knowledgeable colleague, not as a supplier addressing a buyer. Confident, calm and specific. Never distant.</w:t>
      </w:r>
    </w:p>
    <w:p>
      <w:pPr>
        <w:spacing w:after="200"/>
        <w:jc w:val="both"/>
      </w:pPr>
      <w:r>
        <w:rPr>
          <w:rFonts w:ascii="Avenir Next LT Pro" w:hAnsi="Avenir Next LT Pro"/>
          <w:b w:val="0"/>
          <w:i w:val="0"/>
          <w:color w:val="1C4076"/>
          <w:sz w:val="22"/>
        </w:rPr>
        <w:t>If a farm manager, a scientist and a journalist all read the same paragraph, each should find it accurate, and none should find it patronising.</w:t>
      </w:r>
    </w:p>
    <w:p>
      <w:pPr>
        <w:keepNext/>
        <w:spacing w:before="260" w:after="160"/>
      </w:pPr>
      <w:r>
        <w:rPr>
          <w:rFonts w:ascii="Avenir Next LT Pro" w:hAnsi="Avenir Next LT Pro"/>
          <w:b/>
          <w:i w:val="0"/>
          <w:color w:val="1C4076"/>
          <w:sz w:val="28"/>
        </w:rPr>
        <w:t>Core Principles</w:t>
      </w:r>
    </w:p>
    <w:p>
      <w:pPr>
        <w:keepNext/>
        <w:spacing w:before="120" w:after="80"/>
      </w:pPr>
      <w:r>
        <w:rPr>
          <w:rFonts w:ascii="Avenir Next LT Pro" w:hAnsi="Avenir Next LT Pro"/>
          <w:b/>
          <w:i w:val="0"/>
          <w:color w:val="1C4076"/>
          <w:sz w:val="24"/>
        </w:rPr>
        <w:t>Clear and informed</w:t>
      </w:r>
    </w:p>
    <w:p>
      <w:pPr>
        <w:spacing w:after="200"/>
        <w:jc w:val="both"/>
      </w:pPr>
      <w:r>
        <w:rPr>
          <w:rFonts w:ascii="Avenir Next LT Pro" w:hAnsi="Avenir Next LT Pro"/>
          <w:b w:val="0"/>
          <w:i w:val="0"/>
          <w:color w:val="1C4076"/>
          <w:sz w:val="22"/>
        </w:rPr>
        <w:t>We prioritise clarity. Complex topics are explained using straightforward, structured language, supported by data where relevant.</w:t>
      </w:r>
    </w:p>
    <w:p>
      <w:pPr>
        <w:keepNext/>
        <w:spacing w:before="120" w:after="80"/>
      </w:pPr>
      <w:r>
        <w:rPr>
          <w:rFonts w:ascii="Avenir Next LT Pro" w:hAnsi="Avenir Next LT Pro"/>
          <w:b/>
          <w:i w:val="0"/>
          <w:color w:val="1C4076"/>
          <w:sz w:val="24"/>
        </w:rPr>
        <w:t>Professional and approachable</w:t>
      </w:r>
    </w:p>
    <w:p>
      <w:pPr>
        <w:spacing w:after="200"/>
        <w:jc w:val="both"/>
      </w:pPr>
      <w:r>
        <w:rPr>
          <w:rFonts w:ascii="Avenir Next LT Pro" w:hAnsi="Avenir Next LT Pro"/>
          <w:b w:val="0"/>
          <w:i w:val="0"/>
          <w:color w:val="1C4076"/>
          <w:sz w:val="22"/>
        </w:rPr>
        <w:t>The tone is balanced, not overly formal, not casual. Our messages remain open, factual and respectful.</w:t>
      </w:r>
    </w:p>
    <w:p>
      <w:pPr>
        <w:keepNext/>
        <w:spacing w:before="120" w:after="80"/>
      </w:pPr>
      <w:r>
        <w:rPr>
          <w:rFonts w:ascii="Avenir Next LT Pro" w:hAnsi="Avenir Next LT Pro"/>
          <w:b/>
          <w:i w:val="0"/>
          <w:color w:val="1C4076"/>
          <w:sz w:val="24"/>
        </w:rPr>
        <w:t>Accurate and responsible</w:t>
      </w:r>
    </w:p>
    <w:p>
      <w:pPr>
        <w:spacing w:after="200"/>
        <w:jc w:val="both"/>
      </w:pPr>
      <w:r>
        <w:rPr>
          <w:rFonts w:ascii="Avenir Next LT Pro" w:hAnsi="Avenir Next LT Pro"/>
          <w:b w:val="0"/>
          <w:i w:val="0"/>
          <w:color w:val="1C4076"/>
          <w:sz w:val="22"/>
        </w:rPr>
        <w:t>We write with the same rigour we apply to our work. Claims are evidence-based, avoiding hype, exaggeration or ambiguous promises.</w:t>
      </w:r>
    </w:p>
    <w:p>
      <w:pPr>
        <w:keepNext/>
        <w:spacing w:before="120" w:after="80"/>
      </w:pPr>
      <w:r>
        <w:rPr>
          <w:rFonts w:ascii="Avenir Next LT Pro" w:hAnsi="Avenir Next LT Pro"/>
          <w:b/>
          <w:i w:val="0"/>
          <w:color w:val="1C4076"/>
          <w:sz w:val="24"/>
        </w:rPr>
        <w:t>Consistent across markets</w:t>
      </w:r>
    </w:p>
    <w:p>
      <w:pPr>
        <w:spacing w:after="200"/>
        <w:jc w:val="both"/>
      </w:pPr>
      <w:r>
        <w:rPr>
          <w:rFonts w:ascii="Avenir Next LT Pro" w:hAnsi="Avenir Next LT Pro"/>
          <w:b w:val="0"/>
          <w:i w:val="0"/>
          <w:color w:val="1C4076"/>
          <w:sz w:val="22"/>
        </w:rPr>
        <w:t>BioMar communicates as one global company. The depth of detail may vary by audience, but the tone stays constant.</w:t>
      </w:r>
    </w:p>
    <w:p>
      <w:pPr>
        <w:keepNext/>
        <w:spacing w:before="120" w:after="80"/>
      </w:pPr>
      <w:r>
        <w:rPr>
          <w:rFonts w:ascii="Avenir Next LT Pro" w:hAnsi="Avenir Next LT Pro"/>
          <w:b/>
          <w:i w:val="0"/>
          <w:color w:val="1C4076"/>
          <w:sz w:val="24"/>
        </w:rPr>
        <w:t>When principles conflict</w:t>
      </w:r>
    </w:p>
    <w:p>
      <w:pPr>
        <w:spacing w:after="200"/>
        <w:jc w:val="both"/>
      </w:pPr>
      <w:r>
        <w:rPr>
          <w:rFonts w:ascii="Avenir Next LT Pro" w:hAnsi="Avenir Next LT Pro"/>
          <w:b w:val="0"/>
          <w:i w:val="0"/>
          <w:color w:val="1C4076"/>
          <w:sz w:val="22"/>
        </w:rPr>
        <w:t xml:space="preserve">Accuracy and accessibility sometimes pull in opposite directions. </w:t>
      </w:r>
      <w:r>
        <w:rPr>
          <w:rFonts w:ascii="Avenir Next LT Pro" w:hAnsi="Avenir Next LT Pro"/>
          <w:b/>
          <w:i w:val="0"/>
          <w:color w:val="1C4076"/>
          <w:sz w:val="22"/>
        </w:rPr>
        <w:t>Accuracy wins.</w:t>
      </w:r>
      <w:r>
        <w:rPr>
          <w:rFonts w:ascii="Avenir Next LT Pro" w:hAnsi="Avenir Next LT Pro"/>
          <w:b w:val="0"/>
          <w:i w:val="0"/>
          <w:color w:val="1C4076"/>
          <w:sz w:val="22"/>
        </w:rPr>
        <w:t xml:space="preserve"> If a claim cannot be simplified without losing precision, keep the precise version and add a sentence of explanation rather than trading it for a smoother one. A reader who has to work slightly harder is better served than a reader who is misled.</w:t>
      </w:r>
    </w:p>
    <w:p>
      <w:pPr>
        <w:keepNext/>
        <w:spacing w:before="260" w:after="160"/>
      </w:pPr>
      <w:r>
        <w:rPr>
          <w:rFonts w:ascii="Avenir Next LT Pro" w:hAnsi="Avenir Next LT Pro"/>
          <w:b/>
          <w:i w:val="0"/>
          <w:color w:val="1C4076"/>
          <w:sz w:val="28"/>
        </w:rPr>
        <w:t>Language Style</w:t>
      </w:r>
    </w:p>
    <w:p>
      <w:pPr>
        <w:keepNext/>
        <w:spacing w:before="120" w:after="80"/>
      </w:pPr>
      <w:r>
        <w:rPr>
          <w:rFonts w:ascii="Avenir Next LT Pro" w:hAnsi="Avenir Next LT Pro"/>
          <w:b/>
          <w:i w:val="0"/>
          <w:color w:val="1C4076"/>
          <w:sz w:val="24"/>
        </w:rPr>
        <w:t>Straightforward and structured</w:t>
      </w:r>
    </w:p>
    <w:p>
      <w:pPr>
        <w:spacing w:after="200"/>
        <w:jc w:val="both"/>
      </w:pPr>
      <w:r>
        <w:rPr>
          <w:rFonts w:ascii="Avenir Next LT Pro" w:hAnsi="Avenir Next LT Pro"/>
          <w:b w:val="0"/>
          <w:i w:val="0"/>
          <w:color w:val="1C4076"/>
          <w:sz w:val="22"/>
        </w:rPr>
        <w:t>Clean sentence structures and purposeful terminology. Technical terms are used only when they add value.</w:t>
      </w:r>
    </w:p>
    <w:p>
      <w:pPr>
        <w:keepNext/>
        <w:spacing w:before="120" w:after="80"/>
      </w:pPr>
      <w:r>
        <w:rPr>
          <w:rFonts w:ascii="Avenir Next LT Pro" w:hAnsi="Avenir Next LT Pro"/>
          <w:b/>
          <w:i w:val="0"/>
          <w:color w:val="1C4076"/>
          <w:sz w:val="24"/>
        </w:rPr>
        <w:t>Short, readable paragraphs</w:t>
      </w:r>
    </w:p>
    <w:p>
      <w:pPr>
        <w:spacing w:after="200"/>
        <w:jc w:val="both"/>
      </w:pPr>
      <w:r>
        <w:rPr>
          <w:rFonts w:ascii="Avenir Next LT Pro" w:hAnsi="Avenir Next LT Pro"/>
          <w:b w:val="0"/>
          <w:i w:val="0"/>
          <w:color w:val="1C4076"/>
          <w:sz w:val="22"/>
        </w:rPr>
        <w:t>Paragraphs remain concise and focused. Dense, overly long paragraphs are avoided to ensure clarity and flow.</w:t>
      </w:r>
    </w:p>
    <w:p>
      <w:pPr>
        <w:keepNext/>
        <w:spacing w:before="120" w:after="80"/>
      </w:pPr>
      <w:r>
        <w:rPr>
          <w:rFonts w:ascii="Avenir Next LT Pro" w:hAnsi="Avenir Next LT Pro"/>
          <w:b/>
          <w:i w:val="0"/>
          <w:color w:val="1C4076"/>
          <w:sz w:val="24"/>
        </w:rPr>
        <w:t>Neutral and objective</w:t>
      </w:r>
    </w:p>
    <w:p>
      <w:pPr>
        <w:spacing w:after="200"/>
        <w:jc w:val="both"/>
      </w:pPr>
      <w:r>
        <w:rPr>
          <w:rFonts w:ascii="Avenir Next LT Pro" w:hAnsi="Avenir Next LT Pro"/>
          <w:b w:val="0"/>
          <w:i w:val="0"/>
          <w:color w:val="1C4076"/>
          <w:sz w:val="22"/>
        </w:rPr>
        <w:t>Unnecessary adjectives and dramatic language are avoided. Facts lead the message.</w:t>
      </w:r>
    </w:p>
    <w:p>
      <w:pPr>
        <w:keepNext/>
        <w:spacing w:before="120" w:after="80"/>
      </w:pPr>
      <w:r>
        <w:rPr>
          <w:rFonts w:ascii="Avenir Next LT Pro" w:hAnsi="Avenir Next LT Pro"/>
          <w:b/>
          <w:i w:val="0"/>
          <w:color w:val="1C4076"/>
          <w:sz w:val="24"/>
        </w:rPr>
        <w:t>British English</w:t>
      </w:r>
    </w:p>
    <w:p>
      <w:pPr>
        <w:spacing w:after="200"/>
        <w:jc w:val="both"/>
      </w:pPr>
      <w:r>
        <w:rPr>
          <w:rFonts w:ascii="Avenir Next LT Pro" w:hAnsi="Avenir Next LT Pro"/>
          <w:b w:val="0"/>
          <w:i w:val="0"/>
          <w:color w:val="1C4076"/>
          <w:sz w:val="22"/>
        </w:rPr>
        <w:t>All content in English must follow British spelling, vocabulary and grammar.</w:t>
      </w:r>
    </w:p>
    <w:p>
      <w:pPr>
        <w:keepNext/>
        <w:spacing w:before="260" w:after="160"/>
      </w:pPr>
      <w:r>
        <w:rPr>
          <w:rFonts w:ascii="Avenir Next LT Pro" w:hAnsi="Avenir Next LT Pro"/>
          <w:b/>
          <w:i w:val="0"/>
          <w:color w:val="1C4076"/>
          <w:sz w:val="28"/>
        </w:rPr>
        <w:t>Casing</w:t>
      </w:r>
    </w:p>
    <w:p>
      <w:pPr>
        <w:spacing w:after="200"/>
        <w:jc w:val="both"/>
      </w:pPr>
      <w:r>
        <w:rPr>
          <w:rFonts w:ascii="Avenir Next LT Pro" w:hAnsi="Avenir Next LT Pro"/>
          <w:b w:val="0"/>
          <w:i w:val="0"/>
          <w:color w:val="1C4076"/>
          <w:sz w:val="22"/>
        </w:rPr>
        <w:t>Casing is part of tone. How a word is set on the page changes how it sounds, and inconsistent casing undermines the unified identity these guidelines exist to protect.</w:t>
      </w:r>
    </w:p>
    <w:p>
      <w:pPr>
        <w:keepNext/>
        <w:spacing w:before="120" w:after="80"/>
      </w:pPr>
      <w:r>
        <w:rPr>
          <w:rFonts w:ascii="Avenir Next LT Pro" w:hAnsi="Avenir Next LT Pro"/>
          <w:b/>
          <w:i w:val="0"/>
          <w:color w:val="1C4076"/>
          <w:sz w:val="24"/>
        </w:rPr>
        <w:t>Titles and headlines</w:t>
      </w:r>
    </w:p>
    <w:p>
      <w:pPr>
        <w:spacing w:after="200"/>
        <w:jc w:val="both"/>
      </w:pPr>
      <w:r>
        <w:rPr>
          <w:rFonts w:ascii="Avenir Next LT Pro" w:hAnsi="Avenir Next LT Pro"/>
          <w:b/>
          <w:i w:val="0"/>
          <w:color w:val="1C4076"/>
          <w:sz w:val="22"/>
        </w:rPr>
        <w:t>Use title case</w:t>
      </w:r>
      <w:r>
        <w:rPr>
          <w:rFonts w:ascii="Avenir Next LT Pro" w:hAnsi="Avenir Next LT Pro"/>
          <w:b w:val="0"/>
          <w:i w:val="0"/>
          <w:color w:val="1C4076"/>
          <w:sz w:val="22"/>
        </w:rPr>
        <w:t xml:space="preserve"> for article titles, press release headlines, report titles and presentation slide titles.</w:t>
      </w:r>
    </w:p>
    <w:p>
      <w:pPr>
        <w:spacing w:after="200"/>
        <w:jc w:val="both"/>
      </w:pPr>
      <w:r>
        <w:rPr>
          <w:rFonts w:ascii="Avenir Next LT Pro" w:hAnsi="Avenir Next LT Pro"/>
          <w:b w:val="0"/>
          <w:i w:val="0"/>
          <w:color w:val="1C4076"/>
          <w:sz w:val="22"/>
        </w:rPr>
        <w:t>In title case:</w:t>
      </w:r>
    </w:p>
    <w:p>
      <w:pPr>
        <w:pStyle w:val="ListBullet"/>
        <w:spacing w:after="80"/>
      </w:pPr>
      <w:r>
        <w:rPr>
          <w:rFonts w:ascii="Avenir Next LT Pro" w:hAnsi="Avenir Next LT Pro"/>
          <w:b w:val="0"/>
          <w:i w:val="0"/>
          <w:color w:val="1C4076"/>
          <w:sz w:val="22"/>
        </w:rPr>
        <w:t>Capitalise the first and last word, regardless of what they are.</w:t>
      </w:r>
    </w:p>
    <w:p>
      <w:pPr>
        <w:pStyle w:val="ListBullet"/>
        <w:spacing w:after="80"/>
      </w:pPr>
      <w:r>
        <w:rPr>
          <w:rFonts w:ascii="Avenir Next LT Pro" w:hAnsi="Avenir Next LT Pro"/>
          <w:b w:val="0"/>
          <w:i w:val="0"/>
          <w:color w:val="1C4076"/>
          <w:sz w:val="22"/>
        </w:rPr>
        <w:t>Capitalise all nouns, pronouns, verbs, adjectives and adverbs.</w:t>
      </w:r>
    </w:p>
    <w:p>
      <w:pPr>
        <w:spacing w:after="200"/>
        <w:jc w:val="both"/>
      </w:pPr>
      <w:r>
        <w:rPr>
          <w:rFonts w:ascii="Avenir Next LT Pro" w:hAnsi="Avenir Next LT Pro"/>
          <w:b w:val="0"/>
          <w:i w:val="0"/>
          <w:color w:val="1C4076"/>
          <w:sz w:val="22"/>
        </w:rPr>
        <w:t>Keep articles (</w:t>
      </w:r>
      <w:r>
        <w:rPr>
          <w:rFonts w:ascii="Avenir Next LT Pro" w:hAnsi="Avenir Next LT Pro"/>
          <w:b w:val="0"/>
          <w:i/>
          <w:color w:val="1C4076"/>
          <w:sz w:val="22"/>
        </w:rPr>
        <w:t>a, an, the</w:t>
      </w:r>
      <w:r>
        <w:rPr>
          <w:rFonts w:ascii="Avenir Next LT Pro" w:hAnsi="Avenir Next LT Pro"/>
          <w:b w:val="0"/>
          <w:i w:val="0"/>
          <w:color w:val="1C4076"/>
          <w:sz w:val="22"/>
        </w:rPr>
        <w:t>), coordinating conjunctions (</w:t>
      </w:r>
      <w:r>
        <w:rPr>
          <w:rFonts w:ascii="Avenir Next LT Pro" w:hAnsi="Avenir Next LT Pro"/>
          <w:b w:val="0"/>
          <w:i/>
          <w:color w:val="1C4076"/>
          <w:sz w:val="22"/>
        </w:rPr>
        <w:t>and, but, or, nor</w:t>
      </w:r>
      <w:r>
        <w:rPr>
          <w:rFonts w:ascii="Avenir Next LT Pro" w:hAnsi="Avenir Next LT Pro"/>
          <w:b w:val="0"/>
          <w:i w:val="0"/>
          <w:color w:val="1C4076"/>
          <w:sz w:val="22"/>
        </w:rPr>
        <w:t>) and prepositions of four letters or fewer (</w:t>
      </w:r>
      <w:r>
        <w:rPr>
          <w:rFonts w:ascii="Avenir Next LT Pro" w:hAnsi="Avenir Next LT Pro"/>
          <w:b w:val="0"/>
          <w:i/>
          <w:color w:val="1C4076"/>
          <w:sz w:val="22"/>
        </w:rPr>
        <w:t>in, on, for, with, from</w:t>
      </w:r>
      <w:r>
        <w:rPr>
          <w:rFonts w:ascii="Avenir Next LT Pro" w:hAnsi="Avenir Next LT Pro"/>
          <w:b w:val="0"/>
          <w:i w:val="0"/>
          <w:color w:val="1C4076"/>
          <w:sz w:val="22"/>
        </w:rPr>
        <w:t>) in lower case, unless they are the first or last word.</w:t>
      </w:r>
    </w:p>
    <w:p>
      <w:pPr>
        <w:spacing w:after="200"/>
        <w:jc w:val="both"/>
      </w:pPr>
      <w:r>
        <w:rPr>
          <w:rFonts w:ascii="Avenir Next LT Pro" w:hAnsi="Avenir Next LT Pro"/>
          <w:b/>
          <w:i w:val="0"/>
          <w:color w:val="1C4076"/>
          <w:sz w:val="22"/>
        </w:rPr>
        <w:t xml:space="preserve">Yes: </w:t>
      </w:r>
      <w:r>
        <w:rPr>
          <w:rFonts w:ascii="Avenir Next LT Pro" w:hAnsi="Avenir Next LT Pro"/>
          <w:b w:val="0"/>
          <w:i w:val="0"/>
          <w:color w:val="1C4076"/>
          <w:sz w:val="22"/>
        </w:rPr>
        <w:t>New Aquafeed Production Site Opens in Denmark</w:t>
      </w:r>
    </w:p>
    <w:p>
      <w:pPr>
        <w:spacing w:after="200"/>
        <w:jc w:val="both"/>
      </w:pPr>
      <w:r>
        <w:rPr>
          <w:rFonts w:ascii="Avenir Next LT Pro" w:hAnsi="Avenir Next LT Pro"/>
          <w:b/>
          <w:i w:val="0"/>
          <w:color w:val="1C4076"/>
          <w:sz w:val="22"/>
        </w:rPr>
        <w:t xml:space="preserve">No: </w:t>
      </w:r>
      <w:r>
        <w:rPr>
          <w:rFonts w:ascii="Avenir Next LT Pro" w:hAnsi="Avenir Next LT Pro"/>
          <w:b w:val="0"/>
          <w:i w:val="0"/>
          <w:color w:val="1C4076"/>
          <w:sz w:val="22"/>
        </w:rPr>
        <w:t>New aquafeed production site opens in Denmark</w:t>
      </w:r>
    </w:p>
    <w:p>
      <w:pPr>
        <w:spacing w:after="200"/>
        <w:jc w:val="both"/>
      </w:pPr>
      <w:r>
        <w:rPr>
          <w:rFonts w:ascii="Avenir Next LT Pro" w:hAnsi="Avenir Next LT Pro"/>
          <w:b/>
          <w:i w:val="0"/>
          <w:color w:val="1C4076"/>
          <w:sz w:val="22"/>
        </w:rPr>
        <w:t xml:space="preserve">No: </w:t>
      </w:r>
      <w:r>
        <w:rPr>
          <w:rFonts w:ascii="Avenir Next LT Pro" w:hAnsi="Avenir Next LT Pro"/>
          <w:b w:val="0"/>
          <w:i w:val="0"/>
          <w:color w:val="1C4076"/>
          <w:sz w:val="22"/>
        </w:rPr>
        <w:t>New Aquafeed Production Site Opens In Denmark</w:t>
      </w:r>
    </w:p>
    <w:p>
      <w:pPr>
        <w:keepNext/>
        <w:spacing w:before="120" w:after="80"/>
      </w:pPr>
      <w:r>
        <w:rPr>
          <w:rFonts w:ascii="Avenir Next LT Pro" w:hAnsi="Avenir Next LT Pro"/>
          <w:b/>
          <w:i w:val="0"/>
          <w:color w:val="1C4076"/>
          <w:sz w:val="24"/>
        </w:rPr>
        <w:t>Subheadings and body copy</w:t>
      </w:r>
    </w:p>
    <w:p>
      <w:pPr>
        <w:spacing w:after="200"/>
        <w:jc w:val="both"/>
      </w:pPr>
      <w:r>
        <w:rPr>
          <w:rFonts w:ascii="Avenir Next LT Pro" w:hAnsi="Avenir Next LT Pro"/>
          <w:b/>
          <w:i w:val="0"/>
          <w:color w:val="1C4076"/>
          <w:sz w:val="22"/>
        </w:rPr>
        <w:t>Use sentence case</w:t>
      </w:r>
      <w:r>
        <w:rPr>
          <w:rFonts w:ascii="Avenir Next LT Pro" w:hAnsi="Avenir Next LT Pro"/>
          <w:b w:val="0"/>
          <w:i w:val="0"/>
          <w:color w:val="1C4076"/>
          <w:sz w:val="22"/>
        </w:rPr>
        <w:t xml:space="preserve"> for subheadings, captions, table headers, and chart labels. Title case in a heading signals importance, title case everywhere signals nothing.</w:t>
      </w:r>
    </w:p>
    <w:p>
      <w:pPr>
        <w:keepNext/>
        <w:spacing w:before="120" w:after="80"/>
      </w:pPr>
      <w:r>
        <w:rPr>
          <w:rFonts w:ascii="Avenir Next LT Pro" w:hAnsi="Avenir Next LT Pro"/>
          <w:b/>
          <w:i w:val="0"/>
          <w:color w:val="1C4076"/>
          <w:sz w:val="24"/>
        </w:rPr>
        <w:t>Full capitals</w:t>
      </w:r>
    </w:p>
    <w:p>
      <w:pPr>
        <w:spacing w:after="200"/>
        <w:jc w:val="both"/>
      </w:pPr>
      <w:r>
        <w:rPr>
          <w:rFonts w:ascii="Avenir Next LT Pro" w:hAnsi="Avenir Next LT Pro"/>
          <w:b/>
          <w:i w:val="0"/>
          <w:color w:val="1C4076"/>
          <w:sz w:val="22"/>
        </w:rPr>
        <w:t>We do not set words or phrases in full capitals.</w:t>
      </w:r>
    </w:p>
    <w:p>
      <w:pPr>
        <w:spacing w:after="200"/>
        <w:jc w:val="both"/>
      </w:pPr>
      <w:r>
        <w:rPr>
          <w:rFonts w:ascii="Avenir Next LT Pro" w:hAnsi="Avenir Next LT Pro"/>
          <w:b w:val="0"/>
          <w:i w:val="0"/>
          <w:color w:val="1C4076"/>
          <w:sz w:val="22"/>
        </w:rPr>
        <w:t>Full capitals read as raised volume. They introduce urgency and pressure into a voice that is meant to be calm, factual and respectful, and they are the visual equivalent of the exaggerated language this document asks writers to avoid.</w:t>
      </w:r>
    </w:p>
    <w:p>
      <w:pPr>
        <w:spacing w:after="200"/>
        <w:jc w:val="both"/>
      </w:pPr>
      <w:r>
        <w:rPr>
          <w:rFonts w:ascii="Avenir Next LT Pro" w:hAnsi="Avenir Next LT Pro"/>
          <w:b/>
          <w:i w:val="0"/>
          <w:color w:val="1C4076"/>
          <w:sz w:val="22"/>
        </w:rPr>
        <w:t xml:space="preserve">No: </w:t>
      </w:r>
      <w:r>
        <w:rPr>
          <w:rFonts w:ascii="Avenir Next LT Pro" w:hAnsi="Avenir Next LT Pro"/>
          <w:b w:val="0"/>
          <w:i w:val="0"/>
          <w:color w:val="1C4076"/>
          <w:sz w:val="22"/>
        </w:rPr>
        <w:t>BioMar is proud to announce a MAJOR expansion.</w:t>
      </w:r>
    </w:p>
    <w:p>
      <w:pPr>
        <w:spacing w:after="200"/>
        <w:jc w:val="both"/>
      </w:pPr>
      <w:r>
        <w:rPr>
          <w:rFonts w:ascii="Avenir Next LT Pro" w:hAnsi="Avenir Next LT Pro"/>
          <w:b/>
          <w:i w:val="0"/>
          <w:color w:val="1C4076"/>
          <w:sz w:val="22"/>
        </w:rPr>
        <w:t xml:space="preserve">No: </w:t>
      </w:r>
      <w:r>
        <w:rPr>
          <w:rFonts w:ascii="Avenir Next LT Pro" w:hAnsi="Avenir Next LT Pro"/>
          <w:b w:val="0"/>
          <w:i w:val="0"/>
          <w:color w:val="1C4076"/>
          <w:sz w:val="22"/>
        </w:rPr>
        <w:t>DOWNLOAD THE REPORT</w:t>
      </w:r>
    </w:p>
    <w:p>
      <w:pPr>
        <w:spacing w:after="200"/>
        <w:jc w:val="both"/>
      </w:pPr>
      <w:r>
        <w:rPr>
          <w:rFonts w:ascii="Avenir Next LT Pro" w:hAnsi="Avenir Next LT Pro"/>
          <w:b/>
          <w:i w:val="0"/>
          <w:color w:val="1C4076"/>
          <w:sz w:val="22"/>
        </w:rPr>
        <w:t xml:space="preserve">Yes: </w:t>
      </w:r>
      <w:r>
        <w:rPr>
          <w:rFonts w:ascii="Avenir Next LT Pro" w:hAnsi="Avenir Next LT Pro"/>
          <w:b w:val="0"/>
          <w:i w:val="0"/>
          <w:color w:val="1C4076"/>
          <w:sz w:val="22"/>
        </w:rPr>
        <w:t>BioMar is expanding its French facility.</w:t>
      </w:r>
    </w:p>
    <w:p>
      <w:pPr>
        <w:spacing w:after="200"/>
        <w:jc w:val="both"/>
      </w:pPr>
      <w:r>
        <w:rPr>
          <w:rFonts w:ascii="Avenir Next LT Pro" w:hAnsi="Avenir Next LT Pro"/>
          <w:b/>
          <w:i w:val="0"/>
          <w:color w:val="1C4076"/>
          <w:sz w:val="22"/>
        </w:rPr>
        <w:t xml:space="preserve">Yes: </w:t>
      </w:r>
      <w:r>
        <w:rPr>
          <w:rFonts w:ascii="Avenir Next LT Pro" w:hAnsi="Avenir Next LT Pro"/>
          <w:b w:val="0"/>
          <w:i w:val="0"/>
          <w:color w:val="1C4076"/>
          <w:sz w:val="22"/>
        </w:rPr>
        <w:t>Download the report</w:t>
      </w:r>
    </w:p>
    <w:p>
      <w:pPr>
        <w:spacing w:after="200"/>
        <w:jc w:val="both"/>
      </w:pPr>
      <w:r>
        <w:rPr>
          <w:rFonts w:ascii="Avenir Next LT Pro" w:hAnsi="Avenir Next LT Pro"/>
          <w:b w:val="0"/>
          <w:i w:val="0"/>
          <w:color w:val="1C4076"/>
          <w:sz w:val="22"/>
        </w:rPr>
        <w:t>Full capitals are also less legible in long strings, and are read poorly by screen readers, which often announce them letter by letter.</w:t>
      </w:r>
    </w:p>
    <w:p>
      <w:pPr>
        <w:spacing w:after="200"/>
        <w:jc w:val="both"/>
      </w:pPr>
      <w:r>
        <w:rPr>
          <w:rFonts w:ascii="Avenir Next LT Pro" w:hAnsi="Avenir Next LT Pro"/>
          <w:b/>
          <w:i w:val="0"/>
          <w:color w:val="1C4076"/>
          <w:sz w:val="22"/>
        </w:rPr>
        <w:t>Permitted exceptions:</w:t>
      </w:r>
    </w:p>
    <w:p>
      <w:pPr>
        <w:pStyle w:val="ListBullet"/>
        <w:spacing w:after="80"/>
      </w:pPr>
      <w:r>
        <w:rPr>
          <w:rFonts w:ascii="Avenir Next LT Pro" w:hAnsi="Avenir Next LT Pro"/>
          <w:b w:val="0"/>
          <w:i w:val="0"/>
          <w:color w:val="1C4076"/>
          <w:sz w:val="22"/>
        </w:rPr>
        <w:t>Established acronyms and initialisms: ASC, SBTi, FCR, EPA, DHA, R&amp;D.</w:t>
      </w:r>
    </w:p>
    <w:p>
      <w:pPr>
        <w:pStyle w:val="ListBullet"/>
        <w:spacing w:after="80"/>
      </w:pPr>
      <w:r>
        <w:rPr>
          <w:rFonts w:ascii="Avenir Next LT Pro" w:hAnsi="Avenir Next LT Pro"/>
          <w:b w:val="0"/>
          <w:i w:val="0"/>
          <w:color w:val="1C4076"/>
          <w:sz w:val="22"/>
        </w:rPr>
        <w:t>Product and brand names that are formally set in capitals as part of their identity, such as LARVIVA. Follow the visual identity guidelines, do not extend capitalisation to product names that are not set this way. For more details refer to the Product Guidelines.</w:t>
      </w:r>
    </w:p>
    <w:p>
      <w:pPr>
        <w:pStyle w:val="ListBullet"/>
        <w:spacing w:after="80"/>
      </w:pPr>
      <w:r>
        <w:rPr>
          <w:rFonts w:ascii="Avenir Next LT Pro" w:hAnsi="Avenir Next LT Pro"/>
          <w:b w:val="0"/>
          <w:i w:val="0"/>
          <w:color w:val="1C4076"/>
          <w:sz w:val="22"/>
        </w:rPr>
        <w:t>Legal, regulatory or safety text where capitalisation is required by law or by a governing body.</w:t>
      </w:r>
    </w:p>
    <w:p>
      <w:pPr>
        <w:spacing w:after="200"/>
        <w:jc w:val="both"/>
      </w:pPr>
      <w:r>
        <w:rPr>
          <w:rFonts w:ascii="Avenir Next LT Pro" w:hAnsi="Avenir Next LT Pro"/>
          <w:b/>
          <w:i w:val="0"/>
          <w:color w:val="1C4076"/>
          <w:sz w:val="22"/>
        </w:rPr>
        <w:t>Not permitted:</w:t>
      </w:r>
    </w:p>
    <w:p>
      <w:pPr>
        <w:pStyle w:val="ListBullet"/>
        <w:spacing w:after="80"/>
      </w:pPr>
      <w:r>
        <w:rPr>
          <w:rFonts w:ascii="Avenir Next LT Pro" w:hAnsi="Avenir Next LT Pro"/>
          <w:b w:val="0"/>
          <w:i w:val="0"/>
          <w:color w:val="1C4076"/>
          <w:sz w:val="22"/>
        </w:rPr>
        <w:t>Capitals for emphasis. Use bold sparingly instead, or rewrite the sentence so the emphasis is carried by the words.</w:t>
      </w:r>
    </w:p>
    <w:p>
      <w:pPr>
        <w:pStyle w:val="ListBullet"/>
        <w:spacing w:after="80"/>
      </w:pPr>
      <w:r>
        <w:rPr>
          <w:rFonts w:ascii="Avenir Next LT Pro" w:hAnsi="Avenir Next LT Pro"/>
          <w:b w:val="0"/>
          <w:i w:val="0"/>
          <w:color w:val="1C4076"/>
          <w:sz w:val="22"/>
        </w:rPr>
        <w:t>Capitals in calls to action, buttons, navigation labels, social posts or email subject lines.</w:t>
      </w:r>
    </w:p>
    <w:p>
      <w:pPr>
        <w:spacing w:after="200"/>
        <w:jc w:val="both"/>
      </w:pPr>
      <w:r>
        <w:rPr>
          <w:rFonts w:ascii="Avenir Next LT Pro" w:hAnsi="Avenir Next LT Pro"/>
          <w:b w:val="0"/>
          <w:i w:val="0"/>
          <w:color w:val="1C4076"/>
          <w:sz w:val="22"/>
        </w:rPr>
        <w:t>Letterspaced or small capitals used purely as a design treatment are a visual identity decision, not a copy decision.</w:t>
      </w:r>
    </w:p>
    <w:p>
      <w:pPr>
        <w:keepNext/>
        <w:spacing w:before="120" w:after="80"/>
      </w:pPr>
      <w:r>
        <w:rPr>
          <w:rFonts w:ascii="Avenir Next LT Pro" w:hAnsi="Avenir Next LT Pro"/>
          <w:b/>
          <w:i w:val="0"/>
          <w:color w:val="1C4076"/>
          <w:sz w:val="24"/>
        </w:rPr>
        <w:t>BioMar</w:t>
      </w:r>
    </w:p>
    <w:p>
      <w:pPr>
        <w:spacing w:after="200"/>
        <w:jc w:val="both"/>
      </w:pPr>
      <w:r>
        <w:rPr>
          <w:rFonts w:ascii="Avenir Next LT Pro" w:hAnsi="Avenir Next LT Pro"/>
          <w:b w:val="0"/>
          <w:i w:val="0"/>
          <w:color w:val="1C4076"/>
          <w:sz w:val="22"/>
        </w:rPr>
        <w:t xml:space="preserve">The name is always written </w:t>
      </w:r>
      <w:r>
        <w:rPr>
          <w:rFonts w:ascii="Avenir Next LT Pro" w:hAnsi="Avenir Next LT Pro"/>
          <w:b/>
          <w:i w:val="0"/>
          <w:color w:val="1C4076"/>
          <w:sz w:val="22"/>
        </w:rPr>
        <w:t>BioMar</w:t>
      </w:r>
      <w:r>
        <w:rPr>
          <w:rFonts w:ascii="Avenir Next LT Pro" w:hAnsi="Avenir Next LT Pro"/>
          <w:b w:val="0"/>
          <w:i w:val="0"/>
          <w:color w:val="1C4076"/>
          <w:sz w:val="22"/>
        </w:rPr>
        <w:t>, with a capital B and a capital M, and no space between them. This applies in every context, including running text, headlines, email signatures, and social media copy. It applies regardless of the surrounding casing convention: BioMar keeps its internal capital M even in sentence-case subheadings and in body copy.</w:t>
      </w:r>
    </w:p>
    <w:p>
      <w:pPr>
        <w:spacing w:after="200"/>
        <w:jc w:val="both"/>
      </w:pPr>
      <w:r>
        <w:rPr>
          <w:rFonts w:ascii="Avenir Next LT Pro" w:hAnsi="Avenir Next LT Pro"/>
          <w:b/>
          <w:i w:val="0"/>
          <w:color w:val="1C4076"/>
          <w:sz w:val="22"/>
        </w:rPr>
        <w:t xml:space="preserve">Yes: </w:t>
      </w:r>
      <w:r>
        <w:rPr>
          <w:rFonts w:ascii="Avenir Next LT Pro" w:hAnsi="Avenir Next LT Pro"/>
          <w:b w:val="0"/>
          <w:i w:val="0"/>
          <w:color w:val="1C4076"/>
          <w:sz w:val="22"/>
        </w:rPr>
        <w:t>BioMar</w:t>
      </w:r>
    </w:p>
    <w:p>
      <w:pPr>
        <w:spacing w:after="200"/>
        <w:jc w:val="both"/>
      </w:pPr>
      <w:r>
        <w:rPr>
          <w:rFonts w:ascii="Avenir Next LT Pro" w:hAnsi="Avenir Next LT Pro"/>
          <w:b/>
          <w:i w:val="0"/>
          <w:color w:val="1C4076"/>
          <w:sz w:val="22"/>
        </w:rPr>
        <w:t xml:space="preserve">No: </w:t>
      </w:r>
      <w:r>
        <w:rPr>
          <w:rFonts w:ascii="Avenir Next LT Pro" w:hAnsi="Avenir Next LT Pro"/>
          <w:b w:val="0"/>
          <w:i w:val="0"/>
          <w:color w:val="1C4076"/>
          <w:sz w:val="22"/>
        </w:rPr>
        <w:t>Biomar, BIOMAR, biomar, Bio Mar, BioMAR</w:t>
      </w:r>
    </w:p>
    <w:p>
      <w:pPr>
        <w:keepNext/>
        <w:spacing w:before="120" w:after="80"/>
      </w:pPr>
      <w:r>
        <w:rPr>
          <w:rFonts w:ascii="Avenir Next LT Pro" w:hAnsi="Avenir Next LT Pro"/>
          <w:b/>
          <w:i w:val="0"/>
          <w:color w:val="1C4076"/>
          <w:sz w:val="24"/>
        </w:rPr>
        <w:t>Job titles and departments</w:t>
      </w:r>
    </w:p>
    <w:p>
      <w:pPr>
        <w:spacing w:after="200"/>
        <w:jc w:val="both"/>
      </w:pPr>
      <w:r>
        <w:rPr>
          <w:rFonts w:ascii="Avenir Next LT Pro" w:hAnsi="Avenir Next LT Pro"/>
          <w:b w:val="0"/>
          <w:i w:val="0"/>
          <w:color w:val="1C4076"/>
          <w:sz w:val="22"/>
        </w:rPr>
        <w:t>Capitalise a job title when it precedes a name or forms part of a formal title. Use lower case when describing a team or role generally.</w:t>
      </w:r>
    </w:p>
    <w:p>
      <w:pPr>
        <w:spacing w:after="200"/>
        <w:jc w:val="both"/>
      </w:pPr>
      <w:r>
        <w:rPr>
          <w:rFonts w:ascii="Avenir Next LT Pro" w:hAnsi="Avenir Next LT Pro"/>
          <w:b/>
          <w:i w:val="0"/>
          <w:color w:val="1C4076"/>
          <w:sz w:val="22"/>
        </w:rPr>
        <w:t xml:space="preserve">Yes: </w:t>
      </w:r>
      <w:r>
        <w:rPr>
          <w:rFonts w:ascii="Avenir Next LT Pro" w:hAnsi="Avenir Next LT Pro"/>
          <w:b w:val="0"/>
          <w:i w:val="0"/>
          <w:color w:val="1C4076"/>
          <w:sz w:val="22"/>
        </w:rPr>
        <w:t>Chief Executive Officer Carlos Diaz said…</w:t>
      </w:r>
    </w:p>
    <w:p>
      <w:pPr>
        <w:spacing w:after="200"/>
        <w:jc w:val="both"/>
      </w:pPr>
      <w:r>
        <w:rPr>
          <w:rFonts w:ascii="Avenir Next LT Pro" w:hAnsi="Avenir Next LT Pro"/>
          <w:b/>
          <w:i w:val="0"/>
          <w:color w:val="1C4076"/>
          <w:sz w:val="22"/>
        </w:rPr>
        <w:t xml:space="preserve">Yes: </w:t>
      </w:r>
      <w:r>
        <w:rPr>
          <w:rFonts w:ascii="Avenir Next LT Pro" w:hAnsi="Avenir Next LT Pro"/>
          <w:b w:val="0"/>
          <w:i w:val="0"/>
          <w:color w:val="1C4076"/>
          <w:sz w:val="22"/>
        </w:rPr>
        <w:t>the Global Marketing team</w:t>
      </w:r>
    </w:p>
    <w:p>
      <w:pPr>
        <w:spacing w:after="200"/>
        <w:jc w:val="both"/>
      </w:pPr>
      <w:r>
        <w:rPr>
          <w:rFonts w:ascii="Avenir Next LT Pro" w:hAnsi="Avenir Next LT Pro"/>
          <w:b/>
          <w:i w:val="0"/>
          <w:color w:val="1C4076"/>
          <w:sz w:val="22"/>
        </w:rPr>
        <w:t xml:space="preserve">Yes: </w:t>
      </w:r>
      <w:r>
        <w:rPr>
          <w:rFonts w:ascii="Avenir Next LT Pro" w:hAnsi="Avenir Next LT Pro"/>
          <w:b w:val="0"/>
          <w:i w:val="0"/>
          <w:color w:val="1C4076"/>
          <w:sz w:val="22"/>
        </w:rPr>
        <w:t>our marketing teams across the region</w:t>
      </w:r>
    </w:p>
    <w:p>
      <w:pPr>
        <w:keepNext/>
        <w:spacing w:before="260" w:after="160"/>
      </w:pPr>
      <w:r>
        <w:rPr>
          <w:rFonts w:ascii="Avenir Next LT Pro" w:hAnsi="Avenir Next LT Pro"/>
          <w:b/>
          <w:i w:val="0"/>
          <w:color w:val="1C4076"/>
          <w:sz w:val="28"/>
        </w:rPr>
        <w:t>When Speaking About BioMar</w:t>
      </w:r>
    </w:p>
    <w:p>
      <w:pPr>
        <w:keepNext/>
        <w:spacing w:before="120" w:after="80"/>
      </w:pPr>
      <w:r>
        <w:rPr>
          <w:rFonts w:ascii="Avenir Next LT Pro" w:hAnsi="Avenir Next LT Pro"/>
          <w:b/>
          <w:i w:val="0"/>
          <w:color w:val="1C4076"/>
          <w:sz w:val="24"/>
        </w:rPr>
        <w:t>Use of "we"</w:t>
      </w:r>
    </w:p>
    <w:p>
      <w:pPr>
        <w:spacing w:after="200"/>
        <w:jc w:val="both"/>
      </w:pPr>
      <w:r>
        <w:rPr>
          <w:rFonts w:ascii="Avenir Next LT Pro" w:hAnsi="Avenir Next LT Pro"/>
          <w:b w:val="0"/>
          <w:i w:val="0"/>
          <w:color w:val="1C4076"/>
          <w:sz w:val="22"/>
        </w:rPr>
        <w:t>Used in BioMar-authored content such as website articles, corporate explanations or storytelling pieces.</w:t>
      </w:r>
    </w:p>
    <w:p>
      <w:pPr>
        <w:keepNext/>
        <w:spacing w:before="120" w:after="80"/>
      </w:pPr>
      <w:r>
        <w:rPr>
          <w:rFonts w:ascii="Avenir Next LT Pro" w:hAnsi="Avenir Next LT Pro"/>
          <w:b/>
          <w:i w:val="0"/>
          <w:color w:val="1C4076"/>
          <w:sz w:val="24"/>
        </w:rPr>
        <w:t>Use of third person</w:t>
      </w:r>
    </w:p>
    <w:p>
      <w:pPr>
        <w:spacing w:after="200"/>
        <w:jc w:val="both"/>
      </w:pPr>
      <w:r>
        <w:rPr>
          <w:rFonts w:ascii="Avenir Next LT Pro" w:hAnsi="Avenir Next LT Pro"/>
          <w:b w:val="0"/>
          <w:i w:val="0"/>
          <w:color w:val="1C4076"/>
          <w:sz w:val="22"/>
        </w:rPr>
        <w:t>In joint press releases, partnership announcements or communications where neutrality is required.</w:t>
      </w:r>
    </w:p>
    <w:p>
      <w:pPr>
        <w:keepNext/>
        <w:spacing w:before="120" w:after="80"/>
      </w:pPr>
      <w:r>
        <w:rPr>
          <w:rFonts w:ascii="Avenir Next LT Pro" w:hAnsi="Avenir Next LT Pro"/>
          <w:b/>
          <w:i w:val="0"/>
          <w:color w:val="1C4076"/>
          <w:sz w:val="24"/>
        </w:rPr>
        <w:t>Use of "BioMar" and "the company"</w:t>
      </w:r>
    </w:p>
    <w:p>
      <w:pPr>
        <w:spacing w:after="200"/>
        <w:jc w:val="both"/>
      </w:pPr>
      <w:r>
        <w:rPr>
          <w:rFonts w:ascii="Avenir Next LT Pro" w:hAnsi="Avenir Next LT Pro"/>
          <w:b w:val="0"/>
          <w:i w:val="0"/>
          <w:color w:val="1C4076"/>
          <w:sz w:val="22"/>
        </w:rPr>
        <w:t>Naming BioMar directly is allowed and often preferred, especially to avoid repeating "we". Use "the company" only when third-person language is required, such as in official reports, regulatory contexts or external collaborative releases.</w:t>
      </w:r>
    </w:p>
    <w:p>
      <w:pPr>
        <w:keepNext/>
        <w:spacing w:before="260" w:after="160"/>
      </w:pPr>
      <w:r>
        <w:rPr>
          <w:rFonts w:ascii="Avenir Next LT Pro" w:hAnsi="Avenir Next LT Pro"/>
          <w:b/>
          <w:i w:val="0"/>
          <w:color w:val="1C4076"/>
          <w:sz w:val="28"/>
        </w:rPr>
        <w:t>Writing in Practice</w:t>
      </w:r>
    </w:p>
    <w:p>
      <w:pPr>
        <w:spacing w:after="200"/>
        <w:jc w:val="both"/>
      </w:pPr>
      <w:r>
        <w:rPr>
          <w:rFonts w:ascii="Avenir Next LT Pro" w:hAnsi="Avenir Next LT Pro"/>
          <w:b w:val="0"/>
          <w:i w:val="0"/>
          <w:color w:val="1C4076"/>
          <w:sz w:val="22"/>
        </w:rPr>
        <w:t>Principles are easier to apply against examples. Each pair below shows a common failure and its correction.</w:t>
      </w:r>
    </w:p>
    <w:p>
      <w:pPr>
        <w:keepNext/>
        <w:spacing w:before="120" w:after="80"/>
      </w:pPr>
      <w:r>
        <w:rPr>
          <w:rFonts w:ascii="Avenir Next LT Pro" w:hAnsi="Avenir Next LT Pro"/>
          <w:b/>
          <w:i w:val="0"/>
          <w:color w:val="1C4076"/>
          <w:sz w:val="24"/>
        </w:rPr>
        <w:t>A press release opening</w:t>
      </w:r>
    </w:p>
    <w:p>
      <w:pPr>
        <w:spacing w:after="200"/>
        <w:jc w:val="both"/>
      </w:pPr>
      <w:r>
        <w:rPr>
          <w:rFonts w:ascii="Avenir Next LT Pro" w:hAnsi="Avenir Next LT Pro"/>
          <w:b/>
          <w:i w:val="0"/>
          <w:color w:val="1C4076"/>
          <w:sz w:val="22"/>
        </w:rPr>
        <w:t xml:space="preserve">Before: </w:t>
      </w:r>
      <w:r>
        <w:rPr>
          <w:rFonts w:ascii="Avenir Next LT Pro" w:hAnsi="Avenir Next LT Pro"/>
          <w:b w:val="0"/>
          <w:i w:val="0"/>
          <w:color w:val="1C4076"/>
          <w:sz w:val="22"/>
        </w:rPr>
        <w:t>BioMar is thrilled to unveil a revolutionary new chapter in aquafeed innovation, redefining what's possible for the industry.</w:t>
      </w:r>
    </w:p>
    <w:p>
      <w:pPr>
        <w:spacing w:after="200"/>
        <w:jc w:val="both"/>
      </w:pPr>
      <w:r>
        <w:rPr>
          <w:rFonts w:ascii="Avenir Next LT Pro" w:hAnsi="Avenir Next LT Pro"/>
          <w:b/>
          <w:i w:val="0"/>
          <w:color w:val="1C4076"/>
          <w:sz w:val="22"/>
        </w:rPr>
        <w:t xml:space="preserve">After: </w:t>
      </w:r>
      <w:r>
        <w:rPr>
          <w:rFonts w:ascii="Avenir Next LT Pro" w:hAnsi="Avenir Next LT Pro"/>
          <w:b w:val="0"/>
          <w:i w:val="0"/>
          <w:color w:val="1C4076"/>
          <w:sz w:val="22"/>
        </w:rPr>
        <w:t>BioMar has expanded its Aquaculture Technology Centre in Hirtshals, adding four recirculation systems for trial work with sea bass and sea bream.</w:t>
      </w:r>
    </w:p>
    <w:p>
      <w:pPr>
        <w:keepNext/>
        <w:spacing w:before="120" w:after="80"/>
      </w:pPr>
      <w:r>
        <w:rPr>
          <w:rFonts w:ascii="Avenir Next LT Pro" w:hAnsi="Avenir Next LT Pro"/>
          <w:b/>
          <w:i w:val="0"/>
          <w:color w:val="1C4076"/>
          <w:sz w:val="24"/>
        </w:rPr>
        <w:t>A LinkedIn post</w:t>
      </w:r>
    </w:p>
    <w:p>
      <w:pPr>
        <w:spacing w:after="200"/>
        <w:jc w:val="both"/>
      </w:pPr>
      <w:r>
        <w:rPr>
          <w:rFonts w:ascii="Avenir Next LT Pro" w:hAnsi="Avenir Next LT Pro"/>
          <w:b/>
          <w:i w:val="0"/>
          <w:color w:val="1C4076"/>
          <w:sz w:val="22"/>
        </w:rPr>
        <w:t xml:space="preserve">Before: </w:t>
      </w:r>
      <w:r>
        <w:rPr>
          <w:rFonts w:ascii="Avenir Next LT Pro" w:hAnsi="Avenir Next LT Pro"/>
          <w:b w:val="0"/>
          <w:i w:val="0"/>
          <w:color w:val="1C4076"/>
          <w:sz w:val="22"/>
        </w:rPr>
        <w:t>HUGE news from the BioMar team!! We're SO excited to share what we've been working on. 🚀🚀</w:t>
      </w:r>
    </w:p>
    <w:p>
      <w:pPr>
        <w:spacing w:after="200"/>
        <w:jc w:val="both"/>
      </w:pPr>
      <w:r>
        <w:rPr>
          <w:rFonts w:ascii="Avenir Next LT Pro" w:hAnsi="Avenir Next LT Pro"/>
          <w:b/>
          <w:i w:val="0"/>
          <w:color w:val="1C4076"/>
          <w:sz w:val="22"/>
        </w:rPr>
        <w:t xml:space="preserve">After: </w:t>
      </w:r>
      <w:r>
        <w:rPr>
          <w:rFonts w:ascii="Avenir Next LT Pro" w:hAnsi="Avenir Next LT Pro"/>
          <w:b w:val="0"/>
          <w:i w:val="0"/>
          <w:color w:val="1C4076"/>
          <w:sz w:val="22"/>
        </w:rPr>
        <w:t>Our team in Costa Rica has been trialling a new shrimp feed formulation with three partner farms. Early results on survival rates are encouraging, and we will share the full findings in Q4.</w:t>
      </w:r>
    </w:p>
    <w:p>
      <w:pPr>
        <w:keepNext/>
        <w:spacing w:before="120" w:after="80"/>
      </w:pPr>
      <w:r>
        <w:rPr>
          <w:rFonts w:ascii="Avenir Next LT Pro" w:hAnsi="Avenir Next LT Pro"/>
          <w:b/>
          <w:i w:val="0"/>
          <w:color w:val="1C4076"/>
          <w:sz w:val="24"/>
        </w:rPr>
        <w:t>Describing research</w:t>
      </w:r>
    </w:p>
    <w:p>
      <w:pPr>
        <w:spacing w:after="200"/>
        <w:jc w:val="both"/>
      </w:pPr>
      <w:r>
        <w:rPr>
          <w:rFonts w:ascii="Avenir Next LT Pro" w:hAnsi="Avenir Next LT Pro"/>
          <w:b/>
          <w:i w:val="0"/>
          <w:color w:val="1C4076"/>
          <w:sz w:val="22"/>
        </w:rPr>
        <w:t xml:space="preserve">Before: </w:t>
      </w:r>
      <w:r>
        <w:rPr>
          <w:rFonts w:ascii="Avenir Next LT Pro" w:hAnsi="Avenir Next LT Pro"/>
          <w:b w:val="0"/>
          <w:i w:val="0"/>
          <w:color w:val="1C4076"/>
          <w:sz w:val="22"/>
        </w:rPr>
        <w:t>Our groundbreaking research proves that targeted nutrition eliminates gill health issues in Atlantic salmon.</w:t>
      </w:r>
    </w:p>
    <w:p>
      <w:pPr>
        <w:spacing w:after="200"/>
        <w:jc w:val="both"/>
      </w:pPr>
      <w:r>
        <w:rPr>
          <w:rFonts w:ascii="Avenir Next LT Pro" w:hAnsi="Avenir Next LT Pro"/>
          <w:b/>
          <w:i w:val="0"/>
          <w:color w:val="1C4076"/>
          <w:sz w:val="22"/>
        </w:rPr>
        <w:t xml:space="preserve">After: </w:t>
      </w:r>
      <w:r>
        <w:rPr>
          <w:rFonts w:ascii="Avenir Next LT Pro" w:hAnsi="Avenir Next LT Pro"/>
          <w:b w:val="0"/>
          <w:i w:val="0"/>
          <w:color w:val="1C4076"/>
          <w:sz w:val="22"/>
        </w:rPr>
        <w:t>In a 12-week trial, salmon fed the test diet showed reduced gill score severity compared with the control group.</w:t>
      </w:r>
    </w:p>
    <w:p>
      <w:pPr>
        <w:keepNext/>
        <w:spacing w:before="260" w:after="160"/>
      </w:pPr>
      <w:r>
        <w:rPr>
          <w:rFonts w:ascii="Avenir Next LT Pro" w:hAnsi="Avenir Next LT Pro"/>
          <w:b/>
          <w:i w:val="0"/>
          <w:color w:val="1C4076"/>
          <w:sz w:val="28"/>
        </w:rPr>
        <w:t>What to Avoid</w:t>
      </w:r>
    </w:p>
    <w:p>
      <w:pPr>
        <w:pStyle w:val="ListBullet"/>
        <w:spacing w:after="80"/>
      </w:pPr>
      <w:r>
        <w:rPr>
          <w:rFonts w:ascii="Avenir Next LT Pro" w:hAnsi="Avenir Next LT Pro"/>
          <w:b w:val="0"/>
          <w:i w:val="0"/>
          <w:color w:val="1C4076"/>
          <w:sz w:val="22"/>
        </w:rPr>
        <w:t>Exaggerated or dramatic language: revolutionary, game-changing, breakthrough, unveil, thrilled</w:t>
      </w:r>
    </w:p>
    <w:p>
      <w:pPr>
        <w:pStyle w:val="ListBullet"/>
        <w:spacing w:after="80"/>
      </w:pPr>
      <w:r>
        <w:rPr>
          <w:rFonts w:ascii="Avenir Next LT Pro" w:hAnsi="Avenir Next LT Pro"/>
          <w:b w:val="0"/>
          <w:i w:val="0"/>
          <w:color w:val="1C4076"/>
          <w:sz w:val="22"/>
        </w:rPr>
        <w:t>Overpromising or implying guarantees</w:t>
      </w:r>
    </w:p>
    <w:p>
      <w:pPr>
        <w:pStyle w:val="ListBullet"/>
        <w:spacing w:after="80"/>
      </w:pPr>
      <w:r>
        <w:rPr>
          <w:rFonts w:ascii="Avenir Next LT Pro" w:hAnsi="Avenir Next LT Pro"/>
          <w:b w:val="0"/>
          <w:i w:val="0"/>
          <w:color w:val="1C4076"/>
          <w:sz w:val="22"/>
        </w:rPr>
        <w:t>Sustainability claims without supporting data</w:t>
      </w:r>
    </w:p>
    <w:p>
      <w:pPr>
        <w:pStyle w:val="ListBullet"/>
        <w:spacing w:after="80"/>
      </w:pPr>
      <w:r>
        <w:rPr>
          <w:rFonts w:ascii="Avenir Next LT Pro" w:hAnsi="Avenir Next LT Pro"/>
          <w:b w:val="0"/>
          <w:i w:val="0"/>
          <w:color w:val="1C4076"/>
          <w:sz w:val="22"/>
        </w:rPr>
        <w:t>Marketing clichés and abstract corporate jargon</w:t>
      </w:r>
    </w:p>
    <w:p>
      <w:pPr>
        <w:pStyle w:val="ListBullet"/>
        <w:spacing w:after="80"/>
      </w:pPr>
      <w:r>
        <w:rPr>
          <w:rFonts w:ascii="Avenir Next LT Pro" w:hAnsi="Avenir Next LT Pro"/>
          <w:b w:val="0"/>
          <w:i w:val="0"/>
          <w:color w:val="1C4076"/>
          <w:sz w:val="22"/>
        </w:rPr>
        <w:t>US spelling or tone</w:t>
      </w:r>
    </w:p>
    <w:p>
      <w:pPr>
        <w:pStyle w:val="ListBullet"/>
        <w:spacing w:after="80"/>
      </w:pPr>
      <w:r>
        <w:rPr>
          <w:rFonts w:ascii="Avenir Next LT Pro" w:hAnsi="Avenir Next LT Pro"/>
          <w:b w:val="0"/>
          <w:i w:val="0"/>
          <w:color w:val="1C4076"/>
          <w:sz w:val="22"/>
        </w:rPr>
        <w:t>Slang or overly casual expressions</w:t>
      </w:r>
    </w:p>
    <w:p>
      <w:pPr>
        <w:pStyle w:val="ListBullet"/>
        <w:spacing w:after="80"/>
      </w:pPr>
      <w:r>
        <w:rPr>
          <w:rFonts w:ascii="Avenir Next LT Pro" w:hAnsi="Avenir Next LT Pro"/>
          <w:b w:val="0"/>
          <w:i w:val="0"/>
          <w:color w:val="1C4076"/>
          <w:sz w:val="22"/>
        </w:rPr>
        <w:t>Emotional language in place of evidence</w:t>
      </w:r>
    </w:p>
    <w:p>
      <w:pPr>
        <w:pStyle w:val="ListBullet"/>
        <w:spacing w:after="80"/>
      </w:pPr>
      <w:r>
        <w:rPr>
          <w:rFonts w:ascii="Avenir Next LT Pro" w:hAnsi="Avenir Next LT Pro"/>
          <w:b w:val="0"/>
          <w:i w:val="0"/>
          <w:color w:val="1C4076"/>
          <w:sz w:val="22"/>
        </w:rPr>
        <w:t>Debate-style engagement on social media (see Social Media Guidelines)</w:t>
      </w:r>
    </w:p>
    <w:p>
      <w:pPr>
        <w:pStyle w:val="ListBullet"/>
        <w:spacing w:after="80"/>
      </w:pPr>
      <w:r>
        <w:rPr>
          <w:rFonts w:ascii="Avenir Next LT Pro" w:hAnsi="Avenir Next LT Pro"/>
          <w:b w:val="0"/>
          <w:i w:val="0"/>
          <w:color w:val="1C4076"/>
          <w:sz w:val="22"/>
        </w:rPr>
        <w:t>Full capitals for emphasis (see Casing)</w:t>
      </w:r>
    </w:p>
    <w:p>
      <w:pPr>
        <w:keepNext/>
        <w:spacing w:before="260" w:after="160"/>
      </w:pPr>
      <w:r>
        <w:rPr>
          <w:rFonts w:ascii="Avenir Next LT Pro" w:hAnsi="Avenir Next LT Pro"/>
          <w:b/>
          <w:i w:val="0"/>
          <w:color w:val="1C4076"/>
          <w:sz w:val="28"/>
        </w:rPr>
        <w:t>Preferred Vocabulary</w:t>
      </w:r>
    </w:p>
    <w:p>
      <w:pPr>
        <w:spacing w:after="200"/>
        <w:jc w:val="both"/>
      </w:pPr>
      <w:r>
        <w:rPr>
          <w:rFonts w:ascii="Avenir Next LT Pro" w:hAnsi="Avenir Next LT Pro"/>
          <w:b w:val="0"/>
          <w:i w:val="0"/>
          <w:color w:val="1C4076"/>
          <w:sz w:val="22"/>
        </w:rPr>
        <w:t>Direct, factual wording that reflects our industry and expertise. These terms support consistency across markets.</w:t>
      </w:r>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
              <w:rPr>
                <w:rFonts w:ascii="Avenir Next LT Pro" w:hAnsi="Avenir Next LT Pro"/>
                <w:b/>
                <w:i w:val="0"/>
                <w:color w:val="FFFFFF"/>
                <w:sz w:val="17"/>
              </w:rPr>
              <w:t>Use</w:t>
            </w:r>
          </w:p>
        </w:tc>
        <w:tc>
          <w:tcPr>
            <w:tcW w:type="dxa" w:w="5103"/>
            <w:shd w:val="clear" w:fill="1C4076"/>
          </w:tcPr>
          <w:p>
            <w:r/>
            <w:r>
              <w:rPr>
                <w:rFonts w:ascii="Avenir Next LT Pro" w:hAnsi="Avenir Next LT Pro"/>
                <w:b/>
                <w:i w:val="0"/>
                <w:color w:val="FFFFFF"/>
                <w:sz w:val="17"/>
              </w:rPr>
              <w:t>Instead of</w:t>
            </w:r>
          </w:p>
        </w:tc>
      </w:tr>
      <w:tr>
        <w:tc>
          <w:tcPr>
            <w:tcW w:type="dxa" w:w="5103"/>
          </w:tcPr>
          <w:p>
            <w:r/>
            <w:r>
              <w:rPr>
                <w:rFonts w:ascii="Avenir Next LT Pro" w:hAnsi="Avenir Next LT Pro"/>
                <w:b w:val="0"/>
                <w:i w:val="0"/>
                <w:color w:val="1C4076"/>
                <w:sz w:val="17"/>
              </w:rPr>
              <w:t>aquafeed (feed is permitted to avoid repetition)</w:t>
            </w:r>
          </w:p>
        </w:tc>
        <w:tc>
          <w:tcPr>
            <w:tcW w:type="dxa" w:w="5103"/>
          </w:tcPr>
          <w:p>
            <w:r/>
            <w:r>
              <w:rPr>
                <w:rFonts w:ascii="Avenir Next LT Pro" w:hAnsi="Avenir Next LT Pro"/>
                <w:b w:val="0"/>
                <w:i w:val="0"/>
                <w:color w:val="1C4076"/>
                <w:sz w:val="17"/>
              </w:rPr>
              <w:t>feed</w:t>
            </w:r>
          </w:p>
        </w:tc>
      </w:tr>
      <w:tr>
        <w:tc>
          <w:tcPr>
            <w:tcW w:type="dxa" w:w="5103"/>
          </w:tcPr>
          <w:p>
            <w:r/>
            <w:r>
              <w:rPr>
                <w:rFonts w:ascii="Avenir Next LT Pro" w:hAnsi="Avenir Next LT Pro"/>
                <w:b w:val="0"/>
                <w:i w:val="0"/>
                <w:color w:val="1C4076"/>
                <w:sz w:val="17"/>
              </w:rPr>
              <w:t>production facility / production site</w:t>
            </w:r>
          </w:p>
        </w:tc>
        <w:tc>
          <w:tcPr>
            <w:tcW w:type="dxa" w:w="5103"/>
          </w:tcPr>
          <w:p>
            <w:r/>
            <w:r>
              <w:rPr>
                <w:rFonts w:ascii="Avenir Next LT Pro" w:hAnsi="Avenir Next LT Pro"/>
                <w:b w:val="0"/>
                <w:i w:val="0"/>
                <w:color w:val="1C4076"/>
                <w:sz w:val="17"/>
              </w:rPr>
              <w:t>feed mill, factory</w:t>
            </w:r>
          </w:p>
        </w:tc>
      </w:tr>
      <w:tr>
        <w:tc>
          <w:tcPr>
            <w:tcW w:type="dxa" w:w="5103"/>
          </w:tcPr>
          <w:p>
            <w:r/>
            <w:r>
              <w:rPr>
                <w:rFonts w:ascii="Avenir Next LT Pro" w:hAnsi="Avenir Next LT Pro"/>
                <w:b w:val="0"/>
                <w:i w:val="0"/>
                <w:color w:val="1C4076"/>
                <w:sz w:val="17"/>
              </w:rPr>
              <w:t>alternative ingredients / alternative raw materials</w:t>
            </w:r>
          </w:p>
        </w:tc>
        <w:tc>
          <w:tcPr>
            <w:tcW w:type="dxa" w:w="5103"/>
          </w:tcPr>
          <w:p>
            <w:r/>
            <w:r>
              <w:rPr>
                <w:rFonts w:ascii="Avenir Next LT Pro" w:hAnsi="Avenir Next LT Pro"/>
                <w:b w:val="0"/>
                <w:i w:val="0"/>
                <w:color w:val="1C4076"/>
                <w:sz w:val="17"/>
              </w:rPr>
              <w:t>—</w:t>
            </w:r>
          </w:p>
        </w:tc>
      </w:tr>
      <w:tr>
        <w:tc>
          <w:tcPr>
            <w:tcW w:type="dxa" w:w="5103"/>
          </w:tcPr>
          <w:p>
            <w:r/>
            <w:r>
              <w:rPr>
                <w:rFonts w:ascii="Avenir Next LT Pro" w:hAnsi="Avenir Next LT Pro"/>
                <w:b w:val="0"/>
                <w:i w:val="0"/>
                <w:color w:val="1C4076"/>
                <w:sz w:val="17"/>
              </w:rPr>
              <w:t>blue foods</w:t>
            </w:r>
          </w:p>
        </w:tc>
        <w:tc>
          <w:tcPr>
            <w:tcW w:type="dxa" w:w="5103"/>
          </w:tcPr>
          <w:p>
            <w:r/>
            <w:r>
              <w:rPr>
                <w:rFonts w:ascii="Avenir Next LT Pro" w:hAnsi="Avenir Next LT Pro"/>
                <w:b w:val="0"/>
                <w:i w:val="0"/>
                <w:color w:val="1C4076"/>
                <w:sz w:val="17"/>
              </w:rPr>
              <w:t>—</w:t>
            </w:r>
          </w:p>
        </w:tc>
      </w:tr>
      <w:tr>
        <w:tc>
          <w:tcPr>
            <w:tcW w:type="dxa" w:w="5103"/>
          </w:tcPr>
          <w:p>
            <w:r/>
            <w:r>
              <w:rPr>
                <w:rFonts w:ascii="Avenir Next LT Pro" w:hAnsi="Avenir Next LT Pro"/>
                <w:b w:val="0"/>
                <w:i w:val="0"/>
                <w:color w:val="1C4076"/>
                <w:sz w:val="17"/>
              </w:rPr>
              <w:t>design / formulate feed</w:t>
            </w:r>
          </w:p>
        </w:tc>
        <w:tc>
          <w:tcPr>
            <w:tcW w:type="dxa" w:w="5103"/>
          </w:tcPr>
          <w:p>
            <w:r/>
            <w:r>
              <w:rPr>
                <w:rFonts w:ascii="Avenir Next LT Pro" w:hAnsi="Avenir Next LT Pro"/>
                <w:b w:val="0"/>
                <w:i w:val="0"/>
                <w:color w:val="1C4076"/>
                <w:sz w:val="17"/>
              </w:rPr>
              <w:t>make feed</w:t>
            </w:r>
          </w:p>
        </w:tc>
      </w:tr>
      <w:tr>
        <w:tc>
          <w:tcPr>
            <w:tcW w:type="dxa" w:w="5103"/>
          </w:tcPr>
          <w:p>
            <w:r/>
            <w:r>
              <w:rPr>
                <w:rFonts w:ascii="Avenir Next LT Pro" w:hAnsi="Avenir Next LT Pro"/>
                <w:b w:val="0"/>
                <w:i w:val="0"/>
                <w:color w:val="1C4076"/>
                <w:sz w:val="17"/>
              </w:rPr>
              <w:t>feed solutions</w:t>
            </w:r>
          </w:p>
        </w:tc>
        <w:tc>
          <w:tcPr>
            <w:tcW w:type="dxa" w:w="5103"/>
          </w:tcPr>
          <w:p>
            <w:r/>
            <w:r>
              <w:rPr>
                <w:rFonts w:ascii="Avenir Next LT Pro" w:hAnsi="Avenir Next LT Pro"/>
                <w:b w:val="0"/>
                <w:i w:val="0"/>
                <w:color w:val="1C4076"/>
                <w:sz w:val="17"/>
              </w:rPr>
              <w:t>—</w:t>
            </w:r>
          </w:p>
        </w:tc>
      </w:tr>
      <w:tr>
        <w:tc>
          <w:tcPr>
            <w:tcW w:type="dxa" w:w="5103"/>
          </w:tcPr>
          <w:p>
            <w:r/>
            <w:r>
              <w:rPr>
                <w:rFonts w:ascii="Avenir Next LT Pro" w:hAnsi="Avenir Next LT Pro"/>
                <w:b w:val="0"/>
                <w:i w:val="0"/>
                <w:color w:val="1C4076"/>
                <w:sz w:val="17"/>
              </w:rPr>
              <w:t>novel ingredients / novel raw materials</w:t>
            </w:r>
          </w:p>
        </w:tc>
        <w:tc>
          <w:tcPr>
            <w:tcW w:type="dxa" w:w="5103"/>
          </w:tcPr>
          <w:p>
            <w:r/>
            <w:r>
              <w:rPr>
                <w:rFonts w:ascii="Avenir Next LT Pro" w:hAnsi="Avenir Next LT Pro"/>
                <w:b w:val="0"/>
                <w:i w:val="0"/>
                <w:color w:val="1C4076"/>
                <w:sz w:val="17"/>
              </w:rPr>
              <w:t>—</w:t>
            </w:r>
          </w:p>
        </w:tc>
      </w:tr>
      <w:tr>
        <w:tc>
          <w:tcPr>
            <w:tcW w:type="dxa" w:w="5103"/>
          </w:tcPr>
          <w:p>
            <w:r/>
            <w:r>
              <w:rPr>
                <w:rFonts w:ascii="Avenir Next LT Pro" w:hAnsi="Avenir Next LT Pro"/>
                <w:b w:val="0"/>
                <w:i w:val="0"/>
                <w:color w:val="1C4076"/>
                <w:sz w:val="17"/>
              </w:rPr>
              <w:t>raw materials</w:t>
            </w:r>
          </w:p>
        </w:tc>
        <w:tc>
          <w:tcPr>
            <w:tcW w:type="dxa" w:w="5103"/>
          </w:tcPr>
          <w:p>
            <w:r/>
            <w:r>
              <w:rPr>
                <w:rFonts w:ascii="Avenir Next LT Pro" w:hAnsi="Avenir Next LT Pro"/>
                <w:b w:val="0"/>
                <w:i w:val="0"/>
                <w:color w:val="1C4076"/>
                <w:sz w:val="17"/>
              </w:rPr>
              <w:t>—</w:t>
            </w:r>
          </w:p>
        </w:tc>
      </w:tr>
      <w:tr>
        <w:tc>
          <w:tcPr>
            <w:tcW w:type="dxa" w:w="5103"/>
          </w:tcPr>
          <w:p>
            <w:r/>
            <w:r>
              <w:rPr>
                <w:rFonts w:ascii="Avenir Next LT Pro" w:hAnsi="Avenir Next LT Pro"/>
                <w:b w:val="0"/>
                <w:i w:val="0"/>
                <w:color w:val="1C4076"/>
                <w:sz w:val="17"/>
              </w:rPr>
              <w:t>reliance on…</w:t>
            </w:r>
          </w:p>
        </w:tc>
        <w:tc>
          <w:tcPr>
            <w:tcW w:type="dxa" w:w="5103"/>
          </w:tcPr>
          <w:p>
            <w:r/>
            <w:r>
              <w:rPr>
                <w:rFonts w:ascii="Avenir Next LT Pro" w:hAnsi="Avenir Next LT Pro"/>
                <w:b w:val="0"/>
                <w:i w:val="0"/>
                <w:color w:val="1C4076"/>
                <w:sz w:val="17"/>
              </w:rPr>
              <w:t>dependence on…</w:t>
            </w:r>
          </w:p>
        </w:tc>
      </w:tr>
      <w:tr>
        <w:tc>
          <w:tcPr>
            <w:tcW w:type="dxa" w:w="5103"/>
          </w:tcPr>
          <w:p>
            <w:r/>
            <w:r>
              <w:rPr>
                <w:rFonts w:ascii="Avenir Next LT Pro" w:hAnsi="Avenir Next LT Pro"/>
                <w:b w:val="0"/>
                <w:i w:val="0"/>
                <w:color w:val="1C4076"/>
                <w:sz w:val="17"/>
              </w:rPr>
              <w:t>resilient (industry or species level)</w:t>
            </w:r>
          </w:p>
        </w:tc>
        <w:tc>
          <w:tcPr>
            <w:tcW w:type="dxa" w:w="5103"/>
          </w:tcPr>
          <w:p>
            <w:r/>
            <w:r>
              <w:rPr>
                <w:rFonts w:ascii="Avenir Next LT Pro" w:hAnsi="Avenir Next LT Pro"/>
                <w:b w:val="0"/>
                <w:i w:val="0"/>
                <w:color w:val="1C4076"/>
                <w:sz w:val="17"/>
              </w:rPr>
              <w:t>—</w:t>
            </w:r>
          </w:p>
        </w:tc>
      </w:tr>
      <w:tr>
        <w:tc>
          <w:tcPr>
            <w:tcW w:type="dxa" w:w="5103"/>
          </w:tcPr>
          <w:p>
            <w:r/>
            <w:r>
              <w:rPr>
                <w:rFonts w:ascii="Avenir Next LT Pro" w:hAnsi="Avenir Next LT Pro"/>
                <w:b w:val="0"/>
                <w:i w:val="0"/>
                <w:color w:val="1C4076"/>
                <w:sz w:val="17"/>
              </w:rPr>
              <w:t>strong (leave where possible for LARVIVA materials)</w:t>
            </w:r>
          </w:p>
        </w:tc>
        <w:tc>
          <w:tcPr>
            <w:tcW w:type="dxa" w:w="5103"/>
          </w:tcPr>
          <w:p>
            <w:r/>
            <w:r>
              <w:rPr>
                <w:rFonts w:ascii="Avenir Next LT Pro" w:hAnsi="Avenir Next LT Pro"/>
                <w:b w:val="0"/>
                <w:i w:val="0"/>
                <w:color w:val="1C4076"/>
                <w:sz w:val="17"/>
              </w:rPr>
              <w:t>—</w:t>
            </w:r>
          </w:p>
        </w:tc>
      </w:tr>
      <w:tr>
        <w:tc>
          <w:tcPr>
            <w:tcW w:type="dxa" w:w="5103"/>
          </w:tcPr>
          <w:p>
            <w:r/>
            <w:r>
              <w:rPr>
                <w:rFonts w:ascii="Avenir Next LT Pro" w:hAnsi="Avenir Next LT Pro"/>
                <w:b w:val="0"/>
                <w:i w:val="0"/>
                <w:color w:val="1C4076"/>
                <w:sz w:val="17"/>
              </w:rPr>
              <w:t>targeted nutrition</w:t>
            </w:r>
          </w:p>
        </w:tc>
        <w:tc>
          <w:tcPr>
            <w:tcW w:type="dxa" w:w="5103"/>
          </w:tcPr>
          <w:p>
            <w:r/>
            <w:r>
              <w:rPr>
                <w:rFonts w:ascii="Avenir Next LT Pro" w:hAnsi="Avenir Next LT Pro"/>
                <w:b w:val="0"/>
                <w:i w:val="0"/>
                <w:color w:val="1C4076"/>
                <w:sz w:val="17"/>
              </w:rPr>
              <w:t>precision nutrition</w:t>
            </w:r>
          </w:p>
        </w:tc>
      </w:tr>
    </w:tbl>
    <w:p>
      <w:pPr>
        <w:keepNext/>
        <w:spacing w:before="120" w:after="80"/>
      </w:pPr>
      <w:r>
        <w:rPr>
          <w:rFonts w:ascii="Avenir Next LT Pro" w:hAnsi="Avenir Next LT Pro"/>
          <w:b/>
          <w:i w:val="0"/>
          <w:color w:val="1C4076"/>
          <w:sz w:val="24"/>
        </w:rPr>
        <w:t>A note on "responsible" and "low-impact"</w:t>
      </w:r>
    </w:p>
    <w:p>
      <w:pPr>
        <w:spacing w:after="200"/>
        <w:jc w:val="both"/>
      </w:pPr>
      <w:r>
        <w:rPr>
          <w:rFonts w:ascii="Avenir Next LT Pro" w:hAnsi="Avenir Next LT Pro"/>
          <w:b w:val="0"/>
          <w:i w:val="0"/>
          <w:color w:val="1C4076"/>
          <w:sz w:val="22"/>
        </w:rPr>
        <w:t xml:space="preserve">We prefer </w:t>
      </w:r>
      <w:r>
        <w:rPr>
          <w:rFonts w:ascii="Avenir Next LT Pro" w:hAnsi="Avenir Next LT Pro"/>
          <w:b/>
          <w:i w:val="0"/>
          <w:color w:val="1C4076"/>
          <w:sz w:val="22"/>
        </w:rPr>
        <w:t>responsible</w:t>
      </w:r>
      <w:r>
        <w:rPr>
          <w:rFonts w:ascii="Avenir Next LT Pro" w:hAnsi="Avenir Next LT Pro"/>
          <w:b w:val="0"/>
          <w:i w:val="0"/>
          <w:color w:val="1C4076"/>
          <w:sz w:val="22"/>
        </w:rPr>
        <w:t xml:space="preserve"> to </w:t>
      </w:r>
      <w:r>
        <w:rPr>
          <w:rFonts w:ascii="Avenir Next LT Pro" w:hAnsi="Avenir Next LT Pro"/>
          <w:b w:val="0"/>
          <w:i/>
          <w:color w:val="1C4076"/>
          <w:sz w:val="22"/>
        </w:rPr>
        <w:t>sustainable</w:t>
      </w:r>
      <w:r>
        <w:rPr>
          <w:rFonts w:ascii="Avenir Next LT Pro" w:hAnsi="Avenir Next LT Pro"/>
          <w:b w:val="0"/>
          <w:i w:val="0"/>
          <w:color w:val="1C4076"/>
          <w:sz w:val="22"/>
        </w:rPr>
        <w:t xml:space="preserve">, and </w:t>
      </w:r>
      <w:r>
        <w:rPr>
          <w:rFonts w:ascii="Avenir Next LT Pro" w:hAnsi="Avenir Next LT Pro"/>
          <w:b/>
          <w:i w:val="0"/>
          <w:color w:val="1C4076"/>
          <w:sz w:val="22"/>
        </w:rPr>
        <w:t>low-impact</w:t>
      </w:r>
      <w:r>
        <w:rPr>
          <w:rFonts w:ascii="Avenir Next LT Pro" w:hAnsi="Avenir Next LT Pro"/>
          <w:b w:val="0"/>
          <w:i w:val="0"/>
          <w:color w:val="1C4076"/>
          <w:sz w:val="22"/>
        </w:rPr>
        <w:t xml:space="preserve"> to </w:t>
      </w:r>
      <w:r>
        <w:rPr>
          <w:rFonts w:ascii="Avenir Next LT Pro" w:hAnsi="Avenir Next LT Pro"/>
          <w:b w:val="0"/>
          <w:i/>
          <w:color w:val="1C4076"/>
          <w:sz w:val="22"/>
        </w:rPr>
        <w:t>sustainability</w:t>
      </w:r>
      <w:r>
        <w:rPr>
          <w:rFonts w:ascii="Avenir Next LT Pro" w:hAnsi="Avenir Next LT Pro"/>
          <w:b w:val="0"/>
          <w:i w:val="0"/>
          <w:color w:val="1C4076"/>
          <w:sz w:val="22"/>
        </w:rPr>
        <w:t>, where the sentence allows it.</w:t>
      </w:r>
    </w:p>
    <w:p>
      <w:pPr>
        <w:spacing w:after="200"/>
        <w:jc w:val="both"/>
      </w:pPr>
      <w:r>
        <w:rPr>
          <w:rFonts w:ascii="Avenir Next LT Pro" w:hAnsi="Avenir Next LT Pro"/>
          <w:b w:val="0"/>
          <w:i w:val="0"/>
          <w:color w:val="1C4076"/>
          <w:sz w:val="22"/>
        </w:rPr>
        <w:t xml:space="preserve">This is not a stylistic preference. Environmental claims are increasingly regulated, and terms such as </w:t>
      </w:r>
      <w:r>
        <w:rPr>
          <w:rFonts w:ascii="Avenir Next LT Pro" w:hAnsi="Avenir Next LT Pro"/>
          <w:b w:val="0"/>
          <w:i/>
          <w:color w:val="1C4076"/>
          <w:sz w:val="22"/>
        </w:rPr>
        <w:t>sustainable</w:t>
      </w:r>
      <w:r>
        <w:rPr>
          <w:rFonts w:ascii="Avenir Next LT Pro" w:hAnsi="Avenir Next LT Pro"/>
          <w:b w:val="0"/>
          <w:i w:val="0"/>
          <w:color w:val="1C4076"/>
          <w:sz w:val="22"/>
        </w:rPr>
        <w:t xml:space="preserve"> and </w:t>
      </w:r>
      <w:r>
        <w:rPr>
          <w:rFonts w:ascii="Avenir Next LT Pro" w:hAnsi="Avenir Next LT Pro"/>
          <w:b w:val="0"/>
          <w:i/>
          <w:color w:val="1C4076"/>
          <w:sz w:val="22"/>
        </w:rPr>
        <w:t>green</w:t>
      </w:r>
      <w:r>
        <w:rPr>
          <w:rFonts w:ascii="Avenir Next LT Pro" w:hAnsi="Avenir Next LT Pro"/>
          <w:b w:val="0"/>
          <w:i w:val="0"/>
          <w:color w:val="1C4076"/>
          <w:sz w:val="22"/>
        </w:rPr>
        <w:t xml:space="preserve"> carry legal exposure when used without substantiation. </w:t>
      </w:r>
      <w:r>
        <w:rPr>
          <w:rFonts w:ascii="Avenir Next LT Pro" w:hAnsi="Avenir Next LT Pro"/>
          <w:b w:val="0"/>
          <w:i/>
          <w:color w:val="1C4076"/>
          <w:sz w:val="22"/>
        </w:rPr>
        <w:t>Responsible</w:t>
      </w:r>
      <w:r>
        <w:rPr>
          <w:rFonts w:ascii="Avenir Next LT Pro" w:hAnsi="Avenir Next LT Pro"/>
          <w:b w:val="0"/>
          <w:i w:val="0"/>
          <w:color w:val="1C4076"/>
          <w:sz w:val="22"/>
        </w:rPr>
        <w:t xml:space="preserve"> and </w:t>
      </w:r>
      <w:r>
        <w:rPr>
          <w:rFonts w:ascii="Avenir Next LT Pro" w:hAnsi="Avenir Next LT Pro"/>
          <w:b w:val="0"/>
          <w:i/>
          <w:color w:val="1C4076"/>
          <w:sz w:val="22"/>
        </w:rPr>
        <w:t>low-impact</w:t>
      </w:r>
      <w:r>
        <w:rPr>
          <w:rFonts w:ascii="Avenir Next LT Pro" w:hAnsi="Avenir Next LT Pro"/>
          <w:b w:val="0"/>
          <w:i w:val="0"/>
          <w:color w:val="1C4076"/>
          <w:sz w:val="22"/>
        </w:rPr>
        <w:t xml:space="preserve"> describe an approach, </w:t>
      </w:r>
      <w:r>
        <w:rPr>
          <w:rFonts w:ascii="Avenir Next LT Pro" w:hAnsi="Avenir Next LT Pro"/>
          <w:b w:val="0"/>
          <w:i/>
          <w:color w:val="1C4076"/>
          <w:sz w:val="22"/>
        </w:rPr>
        <w:t>sustainable</w:t>
      </w:r>
      <w:r>
        <w:rPr>
          <w:rFonts w:ascii="Avenir Next LT Pro" w:hAnsi="Avenir Next LT Pro"/>
          <w:b w:val="0"/>
          <w:i w:val="0"/>
          <w:color w:val="1C4076"/>
          <w:sz w:val="22"/>
        </w:rPr>
        <w:t xml:space="preserve"> asserts an outcome.</w:t>
      </w:r>
    </w:p>
    <w:p>
      <w:pPr>
        <w:spacing w:after="200"/>
        <w:jc w:val="both"/>
      </w:pPr>
      <w:r>
        <w:rPr>
          <w:rFonts w:ascii="Avenir Next LT Pro" w:hAnsi="Avenir Next LT Pro"/>
          <w:b w:val="0"/>
          <w:i w:val="0"/>
          <w:color w:val="1C4076"/>
          <w:sz w:val="22"/>
        </w:rPr>
        <w:t xml:space="preserve">This distinction only works if the substitution is not a disguise. </w:t>
      </w:r>
      <w:r>
        <w:rPr>
          <w:rFonts w:ascii="Avenir Next LT Pro" w:hAnsi="Avenir Next LT Pro"/>
          <w:b/>
          <w:i w:val="0"/>
          <w:color w:val="1C4076"/>
          <w:sz w:val="22"/>
        </w:rPr>
        <w:t>Replacing the word does not license a vaguer claim.</w:t>
      </w:r>
      <w:r>
        <w:rPr>
          <w:rFonts w:ascii="Avenir Next LT Pro" w:hAnsi="Avenir Next LT Pro"/>
          <w:b w:val="0"/>
          <w:i w:val="0"/>
          <w:color w:val="1C4076"/>
          <w:sz w:val="22"/>
        </w:rPr>
        <w:t xml:space="preserve"> "Our responsible sourcing programme" still requires the same evidence as "our sustainable sourcing programme" would. If there is no figure, no methodology and no verification behind the sentence, neither word makes it publishable.</w:t>
      </w:r>
    </w:p>
    <w:p>
      <w:pPr>
        <w:keepNext/>
        <w:spacing w:before="260" w:after="160"/>
      </w:pPr>
      <w:r>
        <w:rPr>
          <w:rFonts w:ascii="Avenir Next LT Pro" w:hAnsi="Avenir Next LT Pro"/>
          <w:b/>
          <w:i w:val="0"/>
          <w:color w:val="1C4076"/>
          <w:sz w:val="28"/>
        </w:rPr>
        <w:t>How We Speak About Key Themes</w:t>
      </w:r>
    </w:p>
    <w:p>
      <w:pPr>
        <w:keepNext/>
        <w:spacing w:before="120" w:after="80"/>
      </w:pPr>
      <w:r>
        <w:rPr>
          <w:rFonts w:ascii="Avenir Next LT Pro" w:hAnsi="Avenir Next LT Pro"/>
          <w:b/>
          <w:i w:val="0"/>
          <w:color w:val="1C4076"/>
          <w:sz w:val="24"/>
        </w:rPr>
        <w:t>Innovation</w:t>
      </w:r>
    </w:p>
    <w:p>
      <w:pPr>
        <w:spacing w:after="200"/>
        <w:jc w:val="both"/>
      </w:pPr>
      <w:r>
        <w:rPr>
          <w:rFonts w:ascii="Avenir Next LT Pro" w:hAnsi="Avenir Next LT Pro"/>
          <w:b w:val="0"/>
          <w:i w:val="0"/>
          <w:color w:val="1C4076"/>
          <w:sz w:val="22"/>
        </w:rPr>
        <w:t>Explain the purpose, relevance and outcomes of developments without dramatisation.</w:t>
      </w:r>
    </w:p>
    <w:p>
      <w:pPr>
        <w:keepNext/>
        <w:spacing w:before="120" w:after="80"/>
      </w:pPr>
      <w:r>
        <w:rPr>
          <w:rFonts w:ascii="Avenir Next LT Pro" w:hAnsi="Avenir Next LT Pro"/>
          <w:b/>
          <w:i w:val="0"/>
          <w:color w:val="1C4076"/>
          <w:sz w:val="24"/>
        </w:rPr>
        <w:t>Environmental performance</w:t>
      </w:r>
    </w:p>
    <w:p>
      <w:pPr>
        <w:spacing w:after="200"/>
        <w:jc w:val="both"/>
      </w:pPr>
      <w:r>
        <w:rPr>
          <w:rFonts w:ascii="Avenir Next LT Pro" w:hAnsi="Avenir Next LT Pro"/>
          <w:b w:val="0"/>
          <w:i w:val="0"/>
          <w:color w:val="1C4076"/>
          <w:sz w:val="22"/>
        </w:rPr>
        <w:t>Use metrics, methodologies and recognised terminology. Avoid vague or undefined claims.</w:t>
      </w:r>
    </w:p>
    <w:p>
      <w:pPr>
        <w:keepNext/>
        <w:spacing w:before="120" w:after="80"/>
      </w:pPr>
      <w:r>
        <w:rPr>
          <w:rFonts w:ascii="Avenir Next LT Pro" w:hAnsi="Avenir Next LT Pro"/>
          <w:b/>
          <w:i w:val="0"/>
          <w:color w:val="1C4076"/>
          <w:sz w:val="24"/>
        </w:rPr>
        <w:t>Partnerships and people</w:t>
      </w:r>
    </w:p>
    <w:p>
      <w:pPr>
        <w:spacing w:after="200"/>
        <w:jc w:val="both"/>
      </w:pPr>
      <w:r>
        <w:rPr>
          <w:rFonts w:ascii="Avenir Next LT Pro" w:hAnsi="Avenir Next LT Pro"/>
          <w:b w:val="0"/>
          <w:i w:val="0"/>
          <w:color w:val="1C4076"/>
          <w:sz w:val="22"/>
        </w:rPr>
        <w:t>Warm yet professional. Highlight collaboration, shared progress and expertise.</w:t>
      </w:r>
    </w:p>
    <w:p>
      <w:pPr>
        <w:keepNext/>
        <w:spacing w:before="260" w:after="160"/>
      </w:pPr>
      <w:r>
        <w:rPr>
          <w:rFonts w:ascii="Avenir Next LT Pro" w:hAnsi="Avenir Next LT Pro"/>
          <w:b/>
          <w:i w:val="0"/>
          <w:color w:val="1C4076"/>
          <w:sz w:val="28"/>
        </w:rPr>
        <w:t>Channel Application</w:t>
      </w:r>
    </w:p>
    <w:p>
      <w:pPr>
        <w:keepNext/>
        <w:spacing w:before="120" w:after="80"/>
      </w:pPr>
      <w:r>
        <w:rPr>
          <w:rFonts w:ascii="Avenir Next LT Pro" w:hAnsi="Avenir Next LT Pro"/>
          <w:b/>
          <w:i w:val="0"/>
          <w:color w:val="1C4076"/>
          <w:sz w:val="24"/>
        </w:rPr>
        <w:t>Corporate website</w:t>
      </w:r>
    </w:p>
    <w:p>
      <w:pPr>
        <w:spacing w:after="200"/>
        <w:jc w:val="both"/>
      </w:pPr>
      <w:r>
        <w:rPr>
          <w:rFonts w:ascii="Avenir Next LT Pro" w:hAnsi="Avenir Next LT Pro"/>
          <w:b w:val="0"/>
          <w:i w:val="0"/>
          <w:color w:val="1C4076"/>
          <w:sz w:val="22"/>
        </w:rPr>
        <w:t>Structured, explanatory and accessible. Articles follow a clean narrative. Article and press release titles use title case.</w:t>
      </w:r>
    </w:p>
    <w:p>
      <w:pPr>
        <w:keepNext/>
        <w:spacing w:before="120" w:after="80"/>
      </w:pPr>
      <w:r>
        <w:rPr>
          <w:rFonts w:ascii="Avenir Next LT Pro" w:hAnsi="Avenir Next LT Pro"/>
          <w:b/>
          <w:i w:val="0"/>
          <w:color w:val="1C4076"/>
          <w:sz w:val="24"/>
        </w:rPr>
        <w:t>External press releases</w:t>
      </w:r>
    </w:p>
    <w:p>
      <w:pPr>
        <w:spacing w:after="200"/>
        <w:jc w:val="both"/>
      </w:pPr>
      <w:r>
        <w:rPr>
          <w:rFonts w:ascii="Avenir Next LT Pro" w:hAnsi="Avenir Next LT Pro"/>
          <w:b w:val="0"/>
          <w:i w:val="0"/>
          <w:color w:val="1C4076"/>
          <w:sz w:val="22"/>
        </w:rPr>
        <w:t>Concise, factual and direct. The key message appears in the opening paragraph, with natural-sounding quotes.</w:t>
      </w:r>
    </w:p>
    <w:p>
      <w:pPr>
        <w:keepNext/>
        <w:spacing w:before="120" w:after="80"/>
      </w:pPr>
      <w:r>
        <w:rPr>
          <w:rFonts w:ascii="Avenir Next LT Pro" w:hAnsi="Avenir Next LT Pro"/>
          <w:b/>
          <w:i w:val="0"/>
          <w:color w:val="1C4076"/>
          <w:sz w:val="24"/>
        </w:rPr>
        <w:t>LinkedIn and social media</w:t>
      </w:r>
    </w:p>
    <w:p>
      <w:pPr>
        <w:spacing w:after="200"/>
        <w:jc w:val="both"/>
      </w:pPr>
      <w:r>
        <w:rPr>
          <w:rFonts w:ascii="Avenir Next LT Pro" w:hAnsi="Avenir Next LT Pro"/>
          <w:b w:val="0"/>
          <w:i w:val="0"/>
          <w:color w:val="1C4076"/>
          <w:sz w:val="22"/>
        </w:rPr>
        <w:t>Professional tone, short paragraphs and accurate information. Emojis may be used sparingly. See the Social Media Guidelines for detail.</w:t>
      </w:r>
    </w:p>
    <w:p>
      <w:pPr>
        <w:keepNext/>
        <w:spacing w:before="120" w:after="80"/>
      </w:pPr>
      <w:r>
        <w:rPr>
          <w:rFonts w:ascii="Avenir Next LT Pro" w:hAnsi="Avenir Next LT Pro"/>
          <w:b/>
          <w:i w:val="0"/>
          <w:color w:val="1C4076"/>
          <w:sz w:val="24"/>
        </w:rPr>
        <w:t>Sustainability and R&amp;D communication</w:t>
      </w:r>
    </w:p>
    <w:p>
      <w:pPr>
        <w:spacing w:after="200"/>
        <w:jc w:val="both"/>
      </w:pPr>
      <w:r>
        <w:rPr>
          <w:rFonts w:ascii="Avenir Next LT Pro" w:hAnsi="Avenir Next LT Pro"/>
          <w:b w:val="0"/>
          <w:i w:val="0"/>
          <w:color w:val="1C4076"/>
          <w:sz w:val="22"/>
        </w:rPr>
        <w:t>Precise and evidence-driven. Research is translated into accessible, factual language that respects scientific integrity.</w:t>
      </w:r>
    </w:p>
    <w:p>
      <w:pPr>
        <w:spacing w:after="200"/>
        <w:jc w:val="both"/>
      </w:pPr>
      <w:r>
        <w:rPr>
          <w:rFonts w:ascii="Avenir Next LT Pro" w:hAnsi="Avenir Next LT Pro"/>
          <w:b w:val="0"/>
          <w:i w:val="0"/>
          <w:color w:val="1C4076"/>
          <w:sz w:val="22"/>
        </w:rPr>
        <w:t>This voice is maintained consistently across all languages BioMar communicates in, ensuring the same clarity, professionalism and identity worldwide.</w:t>
      </w:r>
    </w:p>
    <w:p>
      <w:pPr>
        <w:keepNext/>
        <w:spacing w:before="260" w:after="160"/>
      </w:pPr>
      <w:r>
        <w:rPr>
          <w:rFonts w:ascii="Avenir Next LT Pro" w:hAnsi="Avenir Next LT Pro"/>
          <w:b/>
          <w:i w:val="0"/>
          <w:color w:val="1C4076"/>
          <w:sz w:val="28"/>
        </w:rPr>
        <w:t>Non-Translatable Elements</w:t>
      </w:r>
    </w:p>
    <w:p>
      <w:pPr>
        <w:spacing w:after="200"/>
        <w:jc w:val="both"/>
      </w:pPr>
      <w:r>
        <w:rPr>
          <w:rFonts w:ascii="Avenir Next LT Pro" w:hAnsi="Avenir Next LT Pro"/>
          <w:b w:val="0"/>
          <w:i w:val="0"/>
          <w:color w:val="1C4076"/>
          <w:sz w:val="22"/>
        </w:rPr>
        <w:t>The following brand elements remain in English across all markets.</w:t>
      </w:r>
    </w:p>
    <w:p>
      <w:pPr>
        <w:keepNext/>
        <w:spacing w:before="120" w:after="80"/>
      </w:pPr>
      <w:r>
        <w:rPr>
          <w:rFonts w:ascii="Avenir Next LT Pro" w:hAnsi="Avenir Next LT Pro"/>
          <w:b/>
          <w:i w:val="0"/>
          <w:color w:val="1C4076"/>
          <w:sz w:val="24"/>
        </w:rPr>
        <w:t>Taglines</w:t>
      </w:r>
    </w:p>
    <w:p>
      <w:pPr>
        <w:pStyle w:val="ListBullet"/>
        <w:spacing w:after="80"/>
      </w:pPr>
      <w:r>
        <w:rPr>
          <w:rFonts w:ascii="Avenir Next LT Pro" w:hAnsi="Avenir Next LT Pro"/>
          <w:b w:val="0"/>
          <w:i w:val="0"/>
          <w:color w:val="1C4076"/>
          <w:sz w:val="22"/>
        </w:rPr>
        <w:t>Better Feed. Better Fish. Better Food.</w:t>
      </w:r>
    </w:p>
    <w:p>
      <w:pPr>
        <w:pStyle w:val="ListBullet"/>
        <w:spacing w:after="80"/>
      </w:pPr>
      <w:r>
        <w:rPr>
          <w:rFonts w:ascii="Avenir Next LT Pro" w:hAnsi="Avenir Next LT Pro"/>
          <w:b w:val="0"/>
          <w:i w:val="0"/>
          <w:color w:val="1C4076"/>
          <w:sz w:val="22"/>
        </w:rPr>
        <w:t>Start Strong. Stay Strong.</w:t>
      </w:r>
    </w:p>
    <w:p>
      <w:pPr>
        <w:pStyle w:val="ListBullet"/>
        <w:spacing w:after="80"/>
      </w:pPr>
      <w:r>
        <w:rPr>
          <w:rFonts w:ascii="Avenir Next LT Pro" w:hAnsi="Avenir Next LT Pro"/>
          <w:b w:val="0"/>
          <w:i w:val="0"/>
          <w:color w:val="1C4076"/>
          <w:sz w:val="22"/>
        </w:rPr>
        <w:t>Powered by Partnership. Driven by Innovation.</w:t>
      </w:r>
    </w:p>
    <w:p>
      <w:pPr>
        <w:pStyle w:val="ListBullet"/>
        <w:spacing w:after="80"/>
      </w:pPr>
      <w:r>
        <w:rPr>
          <w:rFonts w:ascii="Avenir Next LT Pro" w:hAnsi="Avenir Next LT Pro"/>
          <w:b w:val="0"/>
          <w:i w:val="0"/>
          <w:color w:val="1C4076"/>
          <w:sz w:val="22"/>
        </w:rPr>
        <w:t>You Care. We Care.</w:t>
      </w:r>
    </w:p>
    <w:p>
      <w:pPr>
        <w:pStyle w:val="ListBullet"/>
        <w:spacing w:after="80"/>
      </w:pPr>
      <w:r>
        <w:rPr>
          <w:rFonts w:ascii="Avenir Next LT Pro" w:hAnsi="Avenir Next LT Pro"/>
          <w:b w:val="0"/>
          <w:i w:val="0"/>
          <w:color w:val="1C4076"/>
          <w:sz w:val="22"/>
        </w:rPr>
        <w:t>Optimise your Performance.</w:t>
      </w:r>
    </w:p>
    <w:p>
      <w:pPr>
        <w:pStyle w:val="ListBullet"/>
        <w:spacing w:after="80"/>
      </w:pPr>
      <w:r>
        <w:rPr>
          <w:rFonts w:ascii="Avenir Next LT Pro" w:hAnsi="Avenir Next LT Pro"/>
          <w:b w:val="0"/>
          <w:i w:val="0"/>
          <w:color w:val="1C4076"/>
          <w:sz w:val="22"/>
        </w:rPr>
        <w:t>Other taglines</w:t>
      </w:r>
    </w:p>
    <w:p>
      <w:pPr>
        <w:keepNext/>
        <w:spacing w:before="120" w:after="80"/>
      </w:pPr>
      <w:r>
        <w:rPr>
          <w:rFonts w:ascii="Avenir Next LT Pro" w:hAnsi="Avenir Next LT Pro"/>
          <w:b/>
          <w:i w:val="0"/>
          <w:color w:val="1C4076"/>
          <w:sz w:val="24"/>
        </w:rPr>
        <w:t>Strategy names</w:t>
      </w:r>
    </w:p>
    <w:p>
      <w:pPr>
        <w:pStyle w:val="ListBullet"/>
        <w:spacing w:after="80"/>
      </w:pPr>
      <w:r>
        <w:rPr>
          <w:rFonts w:ascii="Avenir Next LT Pro" w:hAnsi="Avenir Next LT Pro"/>
          <w:b w:val="0"/>
          <w:i w:val="0"/>
          <w:color w:val="1C4076"/>
          <w:sz w:val="22"/>
        </w:rPr>
        <w:t>Above &amp; Beyond</w:t>
      </w:r>
    </w:p>
    <w:p>
      <w:pPr>
        <w:pStyle w:val="ListBullet"/>
        <w:spacing w:after="80"/>
      </w:pPr>
      <w:r>
        <w:rPr>
          <w:rFonts w:ascii="Avenir Next LT Pro" w:hAnsi="Avenir Next LT Pro"/>
          <w:b w:val="0"/>
          <w:i w:val="0"/>
          <w:color w:val="1C4076"/>
          <w:sz w:val="22"/>
        </w:rPr>
        <w:t>Other approved strategy names</w:t>
      </w:r>
    </w:p>
    <w:p>
      <w:pPr>
        <w:keepNext/>
        <w:spacing w:before="120" w:after="80"/>
      </w:pPr>
      <w:r>
        <w:rPr>
          <w:rFonts w:ascii="Avenir Next LT Pro" w:hAnsi="Avenir Next LT Pro"/>
          <w:b/>
          <w:i w:val="0"/>
          <w:color w:val="1C4076"/>
          <w:sz w:val="24"/>
        </w:rPr>
        <w:t>Concept and product names</w:t>
      </w:r>
    </w:p>
    <w:p>
      <w:pPr>
        <w:pStyle w:val="ListBullet"/>
        <w:spacing w:after="80"/>
      </w:pPr>
      <w:r>
        <w:rPr>
          <w:rFonts w:ascii="Avenir Next LT Pro" w:hAnsi="Avenir Next LT Pro"/>
          <w:b w:val="0"/>
          <w:i w:val="0"/>
          <w:color w:val="1C4076"/>
          <w:sz w:val="22"/>
        </w:rPr>
        <w:t>Blue Impact</w:t>
      </w:r>
    </w:p>
    <w:p>
      <w:pPr>
        <w:pStyle w:val="ListBullet"/>
        <w:spacing w:after="80"/>
      </w:pPr>
      <w:r>
        <w:rPr>
          <w:rFonts w:ascii="Avenir Next LT Pro" w:hAnsi="Avenir Next LT Pro"/>
          <w:b w:val="0"/>
          <w:i w:val="0"/>
          <w:color w:val="1C4076"/>
          <w:sz w:val="22"/>
        </w:rPr>
        <w:t>P.3 Concept</w:t>
      </w:r>
    </w:p>
    <w:p>
      <w:pPr>
        <w:pStyle w:val="ListBullet"/>
        <w:spacing w:after="80"/>
      </w:pPr>
      <w:r>
        <w:rPr>
          <w:rFonts w:ascii="Avenir Next LT Pro" w:hAnsi="Avenir Next LT Pro"/>
          <w:b w:val="0"/>
          <w:i w:val="0"/>
          <w:color w:val="1C4076"/>
          <w:sz w:val="22"/>
        </w:rPr>
        <w:t>SmartCare</w:t>
      </w:r>
    </w:p>
    <w:p>
      <w:pPr>
        <w:pStyle w:val="ListBullet"/>
        <w:spacing w:after="80"/>
      </w:pPr>
      <w:r>
        <w:rPr>
          <w:rFonts w:ascii="Avenir Next LT Pro" w:hAnsi="Avenir Next LT Pro"/>
          <w:b w:val="0"/>
          <w:i w:val="0"/>
          <w:color w:val="1C4076"/>
          <w:sz w:val="22"/>
        </w:rPr>
        <w:t>Control Gill</w:t>
      </w:r>
    </w:p>
    <w:p>
      <w:pPr>
        <w:pStyle w:val="ListBullet"/>
        <w:spacing w:after="80"/>
      </w:pPr>
      <w:r>
        <w:rPr>
          <w:rFonts w:ascii="Avenir Next LT Pro" w:hAnsi="Avenir Next LT Pro"/>
          <w:b w:val="0"/>
          <w:i w:val="0"/>
          <w:color w:val="1C4076"/>
          <w:sz w:val="22"/>
        </w:rPr>
        <w:t>BioFarm</w:t>
      </w:r>
    </w:p>
    <w:p>
      <w:pPr>
        <w:pStyle w:val="ListBullet"/>
        <w:spacing w:after="80"/>
      </w:pPr>
      <w:r>
        <w:rPr>
          <w:rFonts w:ascii="Avenir Next LT Pro" w:hAnsi="Avenir Next LT Pro"/>
          <w:b w:val="0"/>
          <w:i w:val="0"/>
          <w:color w:val="1C4076"/>
          <w:sz w:val="22"/>
        </w:rPr>
        <w:t>Other product names and concepts</w:t>
      </w:r>
    </w:p>
    <w:p>
      <w:pPr>
        <w:keepNext/>
        <w:spacing w:before="120" w:after="80"/>
      </w:pPr>
      <w:r>
        <w:rPr>
          <w:rFonts w:ascii="Avenir Next LT Pro" w:hAnsi="Avenir Next LT Pro"/>
          <w:b/>
          <w:i w:val="0"/>
          <w:color w:val="1C4076"/>
          <w:sz w:val="24"/>
        </w:rPr>
        <w:t>Company name</w:t>
      </w:r>
    </w:p>
    <w:p>
      <w:pPr>
        <w:spacing w:after="200"/>
        <w:jc w:val="both"/>
      </w:pPr>
      <w:r>
        <w:rPr>
          <w:rFonts w:ascii="Avenir Next LT Pro" w:hAnsi="Avenir Next LT Pro"/>
          <w:b w:val="0"/>
          <w:i w:val="0"/>
          <w:color w:val="1C4076"/>
          <w:sz w:val="22"/>
        </w:rPr>
        <w:t xml:space="preserve">The full name </w:t>
      </w:r>
      <w:r>
        <w:rPr>
          <w:rFonts w:ascii="Avenir Next LT Pro" w:hAnsi="Avenir Next LT Pro"/>
          <w:b/>
          <w:i w:val="0"/>
          <w:color w:val="1C4076"/>
          <w:sz w:val="22"/>
        </w:rPr>
        <w:t>BioMar Group</w:t>
      </w:r>
      <w:r>
        <w:rPr>
          <w:rFonts w:ascii="Avenir Next LT Pro" w:hAnsi="Avenir Next LT Pro"/>
          <w:b w:val="0"/>
          <w:i w:val="0"/>
          <w:color w:val="1C4076"/>
          <w:sz w:val="22"/>
        </w:rPr>
        <w:t xml:space="preserve"> must remain in English at all times. When avoiding repetition, the phrase "the Group" may be used. This phrase can be translated when appropriate within non-English content, for example, </w:t>
      </w:r>
      <w:r>
        <w:rPr>
          <w:rFonts w:ascii="Avenir Next LT Pro" w:hAnsi="Avenir Next LT Pro"/>
          <w:b w:val="0"/>
          <w:i/>
          <w:color w:val="1C4076"/>
          <w:sz w:val="22"/>
        </w:rPr>
        <w:t>el grupo</w:t>
      </w:r>
      <w:r>
        <w:rPr>
          <w:rFonts w:ascii="Avenir Next LT Pro" w:hAnsi="Avenir Next LT Pro"/>
          <w:b w:val="0"/>
          <w:i w:val="0"/>
          <w:color w:val="1C4076"/>
          <w:sz w:val="22"/>
        </w:rPr>
        <w:t>.</w:t>
      </w:r>
    </w:p>
    <w:p>
      <w:pPr>
        <w:keepNext/>
        <w:spacing w:before="260" w:after="160"/>
      </w:pPr>
      <w:r>
        <w:rPr>
          <w:rFonts w:ascii="Avenir Next LT Pro" w:hAnsi="Avenir Next LT Pro"/>
          <w:b/>
          <w:i w:val="0"/>
          <w:color w:val="1C4076"/>
          <w:sz w:val="28"/>
        </w:rPr>
        <w:t>Global Spanish</w:t>
      </w:r>
    </w:p>
    <w:p>
      <w:pPr>
        <w:spacing w:after="200"/>
        <w:jc w:val="both"/>
      </w:pPr>
      <w:r>
        <w:rPr>
          <w:rFonts w:ascii="Avenir Next LT Pro" w:hAnsi="Avenir Next LT Pro"/>
          <w:b w:val="0"/>
          <w:i w:val="0"/>
          <w:color w:val="1C4076"/>
          <w:sz w:val="22"/>
        </w:rPr>
        <w:t xml:space="preserve">Spanish is the second global language used by BioMar. For global communications, both internal and external, we use </w:t>
      </w:r>
      <w:r>
        <w:rPr>
          <w:rFonts w:ascii="Avenir Next LT Pro" w:hAnsi="Avenir Next LT Pro"/>
          <w:b/>
          <w:i w:val="0"/>
          <w:color w:val="1C4076"/>
          <w:sz w:val="22"/>
        </w:rPr>
        <w:t>BioMar Global Spanish</w:t>
      </w:r>
      <w:r>
        <w:rPr>
          <w:rFonts w:ascii="Avenir Next LT Pro" w:hAnsi="Avenir Next LT Pro"/>
          <w:b w:val="0"/>
          <w:i w:val="0"/>
          <w:color w:val="1C4076"/>
          <w:sz w:val="22"/>
        </w:rPr>
        <w:t>: a unified version designed to work across all Spanish-speaking markets we serve.</w:t>
      </w:r>
    </w:p>
    <w:p>
      <w:pPr>
        <w:spacing w:after="200"/>
        <w:jc w:val="both"/>
      </w:pPr>
      <w:r>
        <w:rPr>
          <w:rFonts w:ascii="Avenir Next LT Pro" w:hAnsi="Avenir Next LT Pro"/>
          <w:b w:val="0"/>
          <w:i w:val="0"/>
          <w:color w:val="1C4076"/>
          <w:sz w:val="22"/>
        </w:rPr>
        <w:t>Global Spanish is used when communications must be shared globally, published across regions, or printed in formats where local adaptation is not possible.</w:t>
      </w:r>
    </w:p>
    <w:p>
      <w:pPr>
        <w:keepNext/>
        <w:spacing w:before="120" w:after="80"/>
      </w:pPr>
      <w:r>
        <w:rPr>
          <w:rFonts w:ascii="Avenir Next LT Pro" w:hAnsi="Avenir Next LT Pro"/>
          <w:b/>
          <w:i w:val="0"/>
          <w:color w:val="1C4076"/>
          <w:sz w:val="24"/>
        </w:rPr>
        <w:t>Principles of BioMar Global Spanish</w:t>
      </w:r>
    </w:p>
    <w:p>
      <w:pPr>
        <w:keepNext/>
        <w:spacing w:before="120" w:after="80"/>
      </w:pPr>
      <w:r>
        <w:rPr>
          <w:rFonts w:ascii="Avenir Next LT Pro" w:hAnsi="Avenir Next LT Pro"/>
          <w:b/>
          <w:i w:val="0"/>
          <w:color w:val="1C4076"/>
          <w:sz w:val="24"/>
        </w:rPr>
        <w:t>One Spanish, targeted to all markets</w:t>
      </w:r>
    </w:p>
    <w:p>
      <w:pPr>
        <w:spacing w:after="200"/>
        <w:jc w:val="both"/>
      </w:pPr>
      <w:r>
        <w:rPr>
          <w:rFonts w:ascii="Avenir Next LT Pro" w:hAnsi="Avenir Next LT Pro"/>
          <w:b w:val="0"/>
          <w:i w:val="0"/>
          <w:color w:val="1C4076"/>
          <w:sz w:val="22"/>
        </w:rPr>
        <w:t>It avoids regionalisms, slang and country-specific expressions unless truly necessary. It should read naturally in all Spanish-speaking BioMar markets.</w:t>
      </w:r>
    </w:p>
    <w:p>
      <w:pPr>
        <w:keepNext/>
        <w:spacing w:before="120" w:after="80"/>
      </w:pPr>
      <w:r>
        <w:rPr>
          <w:rFonts w:ascii="Avenir Next LT Pro" w:hAnsi="Avenir Next LT Pro"/>
          <w:b/>
          <w:i w:val="0"/>
          <w:color w:val="1C4076"/>
          <w:sz w:val="24"/>
        </w:rPr>
        <w:t>Market relevance and widely accepted terminology</w:t>
      </w:r>
    </w:p>
    <w:p>
      <w:pPr>
        <w:spacing w:after="200"/>
        <w:jc w:val="both"/>
      </w:pPr>
      <w:r>
        <w:rPr>
          <w:rFonts w:ascii="Avenir Next LT Pro" w:hAnsi="Avenir Next LT Pro"/>
          <w:b w:val="0"/>
          <w:i w:val="0"/>
          <w:color w:val="1C4076"/>
          <w:sz w:val="22"/>
        </w:rPr>
        <w:t>When a term relates uniquely to one market's species or production reality, we follow that market's terminology. When a term is widely recognised across several markets, we prioritise the broader, more commonly accepted option. See the Global Spanish Dictionary for detail.</w:t>
      </w:r>
    </w:p>
    <w:p>
      <w:pPr>
        <w:spacing w:after="200"/>
        <w:jc w:val="both"/>
      </w:pPr>
      <w:r>
        <w:rPr>
          <w:rFonts w:ascii="Avenir Next LT Pro" w:hAnsi="Avenir Next LT Pro"/>
          <w:b w:val="0"/>
          <w:i w:val="0"/>
          <w:color w:val="1C4076"/>
          <w:sz w:val="22"/>
        </w:rPr>
        <w:t>Examples:</w:t>
      </w:r>
    </w:p>
    <w:p>
      <w:pPr>
        <w:pStyle w:val="ListBullet"/>
        <w:spacing w:after="80"/>
      </w:pPr>
      <w:r>
        <w:rPr>
          <w:rFonts w:ascii="Avenir Next LT Pro" w:hAnsi="Avenir Next LT Pro"/>
          <w:b w:val="0"/>
          <w:i w:val="0"/>
          <w:color w:val="1C4076"/>
          <w:sz w:val="22"/>
        </w:rPr>
        <w:t>We use camarón for shrimp, because Ecuador is the only Spanish-speaking BioMar market farming this species.</w:t>
      </w:r>
    </w:p>
    <w:p>
      <w:pPr>
        <w:pStyle w:val="ListBullet"/>
        <w:spacing w:after="80"/>
      </w:pPr>
      <w:r>
        <w:rPr>
          <w:rFonts w:ascii="Avenir Next LT Pro" w:hAnsi="Avenir Next LT Pro"/>
          <w:b w:val="0"/>
          <w:i w:val="0"/>
          <w:color w:val="1C4076"/>
          <w:sz w:val="22"/>
        </w:rPr>
        <w:t>We use alimento or alimento acuícola for feed or aquafeed, as these terms are widely understood across all Spanish-speaking markets.</w:t>
      </w:r>
    </w:p>
    <w:p>
      <w:pPr>
        <w:keepNext/>
        <w:spacing w:before="120" w:after="80"/>
      </w:pPr>
      <w:r>
        <w:rPr>
          <w:rFonts w:ascii="Avenir Next LT Pro" w:hAnsi="Avenir Next LT Pro"/>
          <w:b/>
          <w:i w:val="0"/>
          <w:color w:val="1C4076"/>
          <w:sz w:val="24"/>
        </w:rPr>
        <w:t>Corporate and technical clarity</w:t>
      </w:r>
    </w:p>
    <w:p>
      <w:pPr>
        <w:spacing w:after="200"/>
        <w:jc w:val="both"/>
      </w:pPr>
      <w:r>
        <w:rPr>
          <w:rFonts w:ascii="Avenir Next LT Pro" w:hAnsi="Avenir Next LT Pro"/>
          <w:b w:val="0"/>
          <w:i w:val="0"/>
          <w:color w:val="1C4076"/>
          <w:sz w:val="22"/>
        </w:rPr>
        <w:t>Global Spanish remains neutral, precise and professional, following the same tone rules as English BioMar content.</w:t>
      </w:r>
    </w:p>
    <w:p>
      <w:pPr>
        <w:keepNext/>
        <w:spacing w:before="120" w:after="80"/>
      </w:pPr>
      <w:r>
        <w:rPr>
          <w:rFonts w:ascii="Avenir Next LT Pro" w:hAnsi="Avenir Next LT Pro"/>
          <w:b/>
          <w:i w:val="0"/>
          <w:color w:val="1C4076"/>
          <w:sz w:val="24"/>
        </w:rPr>
        <w:t>Form of address, tone and sentence structure</w:t>
      </w:r>
    </w:p>
    <w:p>
      <w:pPr>
        <w:spacing w:after="200"/>
        <w:jc w:val="both"/>
      </w:pPr>
      <w:r>
        <w:rPr>
          <w:rFonts w:ascii="Avenir Next LT Pro" w:hAnsi="Avenir Next LT Pro"/>
          <w:b w:val="0"/>
          <w:i w:val="0"/>
          <w:color w:val="1C4076"/>
          <w:sz w:val="22"/>
        </w:rPr>
        <w:t>Global Spanish uses the informal second-person singular (</w:t>
      </w:r>
      <w:r>
        <w:rPr>
          <w:rFonts w:ascii="Avenir Next LT Pro" w:hAnsi="Avenir Next LT Pro"/>
          <w:b w:val="0"/>
          <w:i/>
          <w:color w:val="1C4076"/>
          <w:sz w:val="22"/>
        </w:rPr>
        <w:t>tú</w:t>
      </w:r>
      <w:r>
        <w:rPr>
          <w:rFonts w:ascii="Avenir Next LT Pro" w:hAnsi="Avenir Next LT Pro"/>
          <w:b w:val="0"/>
          <w:i w:val="0"/>
          <w:color w:val="1C4076"/>
          <w:sz w:val="22"/>
        </w:rPr>
        <w:t xml:space="preserve">) when addressing individuals, and </w:t>
      </w:r>
      <w:r>
        <w:rPr>
          <w:rFonts w:ascii="Avenir Next LT Pro" w:hAnsi="Avenir Next LT Pro"/>
          <w:b w:val="0"/>
          <w:i/>
          <w:color w:val="1C4076"/>
          <w:sz w:val="22"/>
        </w:rPr>
        <w:t>ustedes</w:t>
      </w:r>
      <w:r>
        <w:rPr>
          <w:rFonts w:ascii="Avenir Next LT Pro" w:hAnsi="Avenir Next LT Pro"/>
          <w:b w:val="0"/>
          <w:i w:val="0"/>
          <w:color w:val="1C4076"/>
          <w:sz w:val="22"/>
        </w:rPr>
        <w:t xml:space="preserve"> when addressing groups. Sentence structure and vocabulary remain neutral, avoiding regional idioms or country-specific phrasing.</w:t>
      </w:r>
    </w:p>
    <w:p>
      <w:pPr>
        <w:spacing w:after="200"/>
        <w:jc w:val="both"/>
      </w:pPr>
      <w:r>
        <w:rPr>
          <w:rFonts w:ascii="Avenir Next LT Pro" w:hAnsi="Avenir Next LT Pro"/>
          <w:b/>
          <w:i w:val="0"/>
          <w:color w:val="1C4076"/>
          <w:sz w:val="22"/>
        </w:rPr>
        <w:t xml:space="preserve">Casing in Spanish. </w:t>
      </w:r>
      <w:r>
        <w:rPr>
          <w:rFonts w:ascii="Avenir Next LT Pro" w:hAnsi="Avenir Next LT Pro"/>
          <w:b w:val="0"/>
          <w:i w:val="0"/>
          <w:color w:val="1C4076"/>
          <w:sz w:val="22"/>
        </w:rPr>
        <w:t>Spanish does not use title case. Titles and headlines in Spanish use sentence case, capitalising only the first word and any proper nouns. The prohibition on full capitals applies equally.</w:t>
      </w:r>
    </w:p>
    <w:p>
      <w:pPr>
        <w:spacing w:after="200"/>
        <w:jc w:val="both"/>
      </w:pPr>
      <w:r>
        <w:rPr>
          <w:rFonts w:ascii="Avenir Next LT Pro" w:hAnsi="Avenir Next LT Pro"/>
          <w:b w:val="0"/>
          <w:i/>
          <w:color w:val="1C4076"/>
          <w:sz w:val="22"/>
        </w:rPr>
        <w:t>Nueva planta de producción de alimento acuícola en Chile</w:t>
      </w:r>
    </w:p>
    <w:p>
      <w:pPr>
        <w:keepNext/>
        <w:spacing w:before="120" w:after="80"/>
      </w:pPr>
      <w:r>
        <w:rPr>
          <w:rFonts w:ascii="Avenir Next LT Pro" w:hAnsi="Avenir Next LT Pro"/>
          <w:b/>
          <w:i w:val="0"/>
          <w:color w:val="1C4076"/>
          <w:sz w:val="24"/>
        </w:rPr>
        <w:t>Use and scope</w:t>
      </w:r>
    </w:p>
    <w:p>
      <w:pPr>
        <w:spacing w:after="200"/>
        <w:jc w:val="both"/>
      </w:pPr>
      <w:r>
        <w:rPr>
          <w:rFonts w:ascii="Avenir Next LT Pro" w:hAnsi="Avenir Next LT Pro"/>
          <w:b w:val="0"/>
          <w:i w:val="0"/>
          <w:color w:val="1C4076"/>
          <w:sz w:val="22"/>
        </w:rPr>
        <w:t>Global Spanish is the standard used by Global Marketing for all cross-regional and corporate communications. It ensures consistency when content must work across all Spanish-speaking markets and when localisation is not possible.</w:t>
      </w:r>
    </w:p>
    <w:p>
      <w:pPr>
        <w:spacing w:after="200"/>
        <w:jc w:val="both"/>
      </w:pPr>
      <w:r>
        <w:rPr>
          <w:rFonts w:ascii="Avenir Next LT Pro" w:hAnsi="Avenir Next LT Pro"/>
          <w:b w:val="0"/>
          <w:i w:val="0"/>
          <w:color w:val="1C4076"/>
          <w:sz w:val="22"/>
        </w:rPr>
        <w:t>Local marketing teams are free to use their own local or regional terminology whenever possible.</w:t>
      </w:r>
    </w:p>
    <w:p>
      <w:pPr>
        <w:keepNext/>
        <w:spacing w:before="260" w:after="160"/>
      </w:pPr>
      <w:r>
        <w:rPr>
          <w:rFonts w:ascii="Avenir Next LT Pro" w:hAnsi="Avenir Next LT Pro"/>
          <w:b/>
          <w:i w:val="0"/>
          <w:color w:val="1C4076"/>
          <w:sz w:val="28"/>
        </w:rPr>
        <w:t>The BioMar Voice</w:t>
      </w:r>
    </w:p>
    <w:p>
      <w:pPr>
        <w:spacing w:after="200"/>
        <w:jc w:val="both"/>
      </w:pPr>
      <w:r>
        <w:rPr>
          <w:rFonts w:ascii="Avenir Next LT Pro" w:hAnsi="Avenir Next LT Pro"/>
          <w:b w:val="0"/>
          <w:i w:val="0"/>
          <w:color w:val="1C4076"/>
          <w:sz w:val="22"/>
        </w:rPr>
        <w:t>Every BioMar message should reflect the same character:</w:t>
      </w:r>
    </w:p>
    <w:p>
      <w:pPr>
        <w:spacing w:after="200"/>
        <w:jc w:val="both"/>
      </w:pPr>
      <w:r>
        <w:rPr>
          <w:rFonts w:ascii="Avenir Next LT Pro" w:hAnsi="Avenir Next LT Pro"/>
          <w:b/>
          <w:i w:val="0"/>
          <w:color w:val="1C4076"/>
          <w:sz w:val="22"/>
        </w:rPr>
        <w:t>A knowledgeable, trustworthy and close partner in global aquaculture.</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BioMar Brand Voice Guidelines</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