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A3C74" w14:textId="77777777" w:rsidR="00722E05" w:rsidRDefault="00A313A0" w:rsidP="00722E05">
      <w:pPr>
        <w:pStyle w:val="Title"/>
      </w:pPr>
      <w:r>
        <w:t xml:space="preserve">Amiga Power Analysis </w:t>
      </w:r>
      <w:r w:rsidR="001934F7">
        <w:t xml:space="preserve"> Tool - </w:t>
      </w:r>
      <w:r w:rsidR="00722E05">
        <w:t>User Manual</w:t>
      </w:r>
    </w:p>
    <w:p w14:paraId="473E39CF" w14:textId="3FC3FDD9" w:rsidR="00722E05" w:rsidRPr="002746E6" w:rsidRDefault="003F3C07" w:rsidP="00722E05">
      <w:pPr>
        <w:pStyle w:val="Subtitle"/>
        <w:spacing w:after="0" w:line="360" w:lineRule="auto"/>
      </w:pPr>
      <w:r>
        <w:fldChar w:fldCharType="begin"/>
      </w:r>
      <w:r>
        <w:instrText xml:space="preserve"> DATE \@ "dd MMMM yyyy" </w:instrText>
      </w:r>
      <w:r>
        <w:fldChar w:fldCharType="separate"/>
      </w:r>
      <w:r w:rsidR="00E85852">
        <w:rPr>
          <w:noProof/>
        </w:rPr>
        <w:t>28 February 2023</w:t>
      </w:r>
      <w:r>
        <w:fldChar w:fldCharType="end"/>
      </w:r>
      <w:r>
        <w:t xml:space="preserve"> </w:t>
      </w:r>
      <w:r w:rsidR="00722E05">
        <w:t xml:space="preserve">– </w:t>
      </w:r>
      <w:r w:rsidR="00A313A0">
        <w:t>Amiga Power Analysis Ver</w:t>
      </w:r>
      <w:r w:rsidR="009A1D67">
        <w:t>s</w:t>
      </w:r>
      <w:r w:rsidR="00A313A0">
        <w:t xml:space="preserve">ion </w:t>
      </w:r>
      <w:r w:rsidR="003A6C13">
        <w:t>2.0</w:t>
      </w:r>
    </w:p>
    <w:p w14:paraId="393C83DB" w14:textId="77777777" w:rsidR="00722E05" w:rsidRDefault="00722E05" w:rsidP="00722E05">
      <w:pPr>
        <w:pStyle w:val="Heading1"/>
      </w:pPr>
      <w:r>
        <w:t>Introduction</w:t>
      </w:r>
    </w:p>
    <w:p w14:paraId="619B313D" w14:textId="77777777" w:rsidR="00A313A0" w:rsidRDefault="00122535" w:rsidP="00122535">
      <w:r w:rsidRPr="00122535">
        <w:t>An important task in the field of environmental risk assessment (ERA) is to test whether new varieties have a similar effect on the environment as appropriate, conventional counterparts (EFSA 2010). To address this issue, field trials are designed to compare new varieties with their conventional counterparts (comparators) with respect to the effect on abundance of non-target organisms (NTOs). Using statistical testing, for each NTO measurement unit (or endpoint) it can be determined whether both varieties have a similar effect on the abundance.</w:t>
      </w:r>
      <w:r>
        <w:t xml:space="preserve"> With the Amiga Power Analysis tool, </w:t>
      </w:r>
      <w:r w:rsidR="00A313A0">
        <w:t xml:space="preserve">you can calculate the necessary replication for assessing differences and equivalences between a </w:t>
      </w:r>
      <w:r w:rsidR="002E3FDC" w:rsidRPr="002E3FDC">
        <w:t>test and a comparator plant variety under different data models for count and continuous data</w:t>
      </w:r>
      <w:r w:rsidR="00A313A0">
        <w:t>.</w:t>
      </w:r>
    </w:p>
    <w:p w14:paraId="19BCD258" w14:textId="77777777" w:rsidR="00422153" w:rsidRDefault="00A313A0" w:rsidP="00422153">
      <w:r>
        <w:t xml:space="preserve">This tool </w:t>
      </w:r>
      <w:r w:rsidR="00005806">
        <w:t>builds on EFSA recommendations (Perry et al. 2009, EFSA 2010) and work in the AMIGA proje</w:t>
      </w:r>
      <w:r w:rsidR="00422153">
        <w:t>ct (Goedhart et al. 2013, 2014</w:t>
      </w:r>
      <w:r w:rsidR="00710562">
        <w:t>, van der Voet et al. 2015</w:t>
      </w:r>
      <w:r w:rsidR="00422153">
        <w:t>)</w:t>
      </w:r>
      <w:r w:rsidR="00C36383">
        <w:t xml:space="preserve"> on the amount of replication needed in field trials for GMO safety assessment</w:t>
      </w:r>
      <w:r w:rsidR="00422153">
        <w:t>.</w:t>
      </w:r>
      <w:r w:rsidR="00005806">
        <w:t xml:space="preserve"> It </w:t>
      </w:r>
      <w:r>
        <w:t>allows to specify the experimental design, additional factors in the experiment, and the method of statistical analysis that will be used.</w:t>
      </w:r>
      <w:r w:rsidR="00005806">
        <w:t xml:space="preserve"> The power of difference tests and equivalence tests (</w:t>
      </w:r>
      <w:proofErr w:type="spellStart"/>
      <w:r w:rsidR="00005806">
        <w:t>Schuirmann</w:t>
      </w:r>
      <w:proofErr w:type="spellEnd"/>
      <w:r w:rsidR="00005806">
        <w:t xml:space="preserve"> et al. 1987, Perry et al. 2009) is calculated.</w:t>
      </w:r>
      <w:r w:rsidR="00422153" w:rsidRPr="00422153">
        <w:t xml:space="preserve"> </w:t>
      </w:r>
      <w:r w:rsidR="00422153">
        <w:t>Difference tests are classical tests where the null hypothesis states equality of mean values. For equivalence tests Limits of Concern (LoCs) have to be specified. The null hypothesis of the equivalence test is that the ratio of test and comparator means is at or outside the LoC(s), against the alternative hypothesis that the ratio is within the LoC boundaries.</w:t>
      </w:r>
    </w:p>
    <w:p w14:paraId="7BDE43FF" w14:textId="77777777" w:rsidR="00005806" w:rsidRPr="00005806" w:rsidRDefault="00005806" w:rsidP="00005806">
      <w:r w:rsidRPr="00005806">
        <w:t xml:space="preserve">This program was developed in the </w:t>
      </w:r>
      <w:r w:rsidR="00C36383">
        <w:t xml:space="preserve">EU </w:t>
      </w:r>
      <w:r w:rsidRPr="00005806">
        <w:t xml:space="preserve">project </w:t>
      </w:r>
      <w:r w:rsidR="00C36383" w:rsidRPr="00005806">
        <w:t xml:space="preserve">AMIGA </w:t>
      </w:r>
      <w:r w:rsidRPr="00005806">
        <w:t xml:space="preserve">(Assessing and monitoring the impacts of genetically modified plants on </w:t>
      </w:r>
      <w:proofErr w:type="spellStart"/>
      <w:r w:rsidRPr="00005806">
        <w:t>agro</w:t>
      </w:r>
      <w:proofErr w:type="spellEnd"/>
      <w:r w:rsidRPr="00005806">
        <w:t>-ecosystems</w:t>
      </w:r>
      <w:r w:rsidR="00C36383">
        <w:t xml:space="preserve">, </w:t>
      </w:r>
      <w:proofErr w:type="spellStart"/>
      <w:r w:rsidR="00C36383">
        <w:t>Arpaia</w:t>
      </w:r>
      <w:proofErr w:type="spellEnd"/>
      <w:r w:rsidR="00C36383">
        <w:t xml:space="preserve"> et al. 2014</w:t>
      </w:r>
      <w:r w:rsidRPr="00005806">
        <w:t xml:space="preserve">, </w:t>
      </w:r>
      <w:hyperlink r:id="rId8" w:history="1">
        <w:r w:rsidRPr="00005806">
          <w:rPr>
            <w:rStyle w:val="Hyperlink"/>
          </w:rPr>
          <w:t>http://www.amigaproject.eu/</w:t>
        </w:r>
      </w:hyperlink>
      <w:r w:rsidRPr="00005806">
        <w:t>).</w:t>
      </w:r>
    </w:p>
    <w:p w14:paraId="18E37929" w14:textId="77777777" w:rsidR="00005806" w:rsidRPr="00A053B2" w:rsidRDefault="00005806" w:rsidP="00A313A0">
      <w:pPr>
        <w:rPr>
          <w:lang w:val="nl-NL"/>
        </w:rPr>
      </w:pPr>
      <w:r w:rsidRPr="00005806">
        <w:t xml:space="preserve">The </w:t>
      </w:r>
      <w:r w:rsidR="00A053B2">
        <w:t xml:space="preserve">software </w:t>
      </w:r>
      <w:r w:rsidRPr="00005806">
        <w:t>was developed by the Biometris department of Wageningen University and Research centre (</w:t>
      </w:r>
      <w:hyperlink r:id="rId9" w:history="1">
        <w:r w:rsidRPr="00005806">
          <w:rPr>
            <w:rStyle w:val="Hyperlink"/>
          </w:rPr>
          <w:t>http://www.biometris.nl/</w:t>
        </w:r>
      </w:hyperlink>
      <w:r w:rsidR="00A053B2">
        <w:t xml:space="preserve">). </w:t>
      </w:r>
      <w:r w:rsidR="00A053B2" w:rsidRPr="00A053B2">
        <w:rPr>
          <w:lang w:val="nl-NL"/>
        </w:rPr>
        <w:t xml:space="preserve">Software </w:t>
      </w:r>
      <w:proofErr w:type="spellStart"/>
      <w:r w:rsidR="00A053B2" w:rsidRPr="00A053B2">
        <w:rPr>
          <w:lang w:val="nl-NL"/>
        </w:rPr>
        <w:t>developers</w:t>
      </w:r>
      <w:proofErr w:type="spellEnd"/>
      <w:r w:rsidR="00A053B2" w:rsidRPr="00A053B2">
        <w:rPr>
          <w:lang w:val="nl-NL"/>
        </w:rPr>
        <w:t xml:space="preserve">: </w:t>
      </w:r>
      <w:r w:rsidRPr="00A053B2">
        <w:rPr>
          <w:lang w:val="nl-NL"/>
        </w:rPr>
        <w:t>Johannes Kruisselbrink, Paul Goedhart, Hilko van der Voet</w:t>
      </w:r>
      <w:r w:rsidR="008A1C43" w:rsidRPr="00A053B2">
        <w:rPr>
          <w:lang w:val="nl-NL"/>
        </w:rPr>
        <w:t>.</w:t>
      </w:r>
    </w:p>
    <w:p w14:paraId="69ABE68B" w14:textId="77777777" w:rsidR="00722E05" w:rsidRDefault="00722E05" w:rsidP="00722E05">
      <w:pPr>
        <w:pStyle w:val="Heading1"/>
      </w:pPr>
      <w:r w:rsidRPr="00853042">
        <w:t>Installation instructions</w:t>
      </w:r>
    </w:p>
    <w:p w14:paraId="02B85BBC" w14:textId="77777777" w:rsidR="00722E05" w:rsidRDefault="009A6020" w:rsidP="00722E05">
      <w:pPr>
        <w:pStyle w:val="Heading2"/>
      </w:pPr>
      <w:r>
        <w:t>Prerequisites</w:t>
      </w:r>
    </w:p>
    <w:p w14:paraId="75A3EAB9" w14:textId="5F89437D" w:rsidR="003F3C07" w:rsidRDefault="003F3C07" w:rsidP="003F3C07">
      <w:r>
        <w:t xml:space="preserve">The software is developed for Windows </w:t>
      </w:r>
      <w:r w:rsidR="005D4919">
        <w:t>10</w:t>
      </w:r>
      <w:r>
        <w:t xml:space="preserve"> and requires .NET 4.</w:t>
      </w:r>
      <w:r w:rsidR="005D4919">
        <w:t>8</w:t>
      </w:r>
      <w:r>
        <w:t xml:space="preserve"> client framework. It has not been tested on earlier or later releases of MS Windows.</w:t>
      </w:r>
    </w:p>
    <w:p w14:paraId="2C70BA97" w14:textId="0B440466" w:rsidR="003F3C07" w:rsidRPr="003F3C07" w:rsidRDefault="003F3C07" w:rsidP="003F3C07">
      <w:r>
        <w:t xml:space="preserve">This software requires the installation of the statistical software R, version </w:t>
      </w:r>
      <w:r w:rsidR="003D0BAD">
        <w:t>4.2.1</w:t>
      </w:r>
      <w:r>
        <w:t xml:space="preserve"> or higher. If not already installed, it is best to install R before the installation of this software.</w:t>
      </w:r>
    </w:p>
    <w:p w14:paraId="7BB2F550" w14:textId="77777777" w:rsidR="00E83582" w:rsidRDefault="00C84505" w:rsidP="003F3C07">
      <w:r>
        <w:t>Follow the steps below t</w:t>
      </w:r>
      <w:r w:rsidR="003F3C07">
        <w:t>o install R</w:t>
      </w:r>
      <w:r w:rsidR="00E83582">
        <w:t>:</w:t>
      </w:r>
    </w:p>
    <w:p w14:paraId="1B7A02B0" w14:textId="77777777" w:rsidR="00323465" w:rsidRDefault="00323465" w:rsidP="00323465">
      <w:r w:rsidRPr="00323465">
        <w:rPr>
          <w:b/>
        </w:rPr>
        <w:t>Step 1:</w:t>
      </w:r>
      <w:r>
        <w:t xml:space="preserve"> </w:t>
      </w:r>
      <w:r w:rsidR="00E83582">
        <w:t>G</w:t>
      </w:r>
      <w:r w:rsidR="003F3C07">
        <w:t xml:space="preserve">o to the R website for downloading the Windows version on </w:t>
      </w:r>
      <w:hyperlink r:id="rId10" w:history="1">
        <w:r w:rsidR="003F3C07" w:rsidRPr="00F827C2">
          <w:rPr>
            <w:rStyle w:val="Hyperlink"/>
          </w:rPr>
          <w:t>http://cran.rstudio.org</w:t>
        </w:r>
      </w:hyperlink>
      <w:r w:rsidR="00E83582">
        <w:t>.</w:t>
      </w:r>
    </w:p>
    <w:p w14:paraId="32C5E0E5" w14:textId="41A388A4" w:rsidR="00E83582" w:rsidRDefault="00323465" w:rsidP="00323465">
      <w:r w:rsidRPr="00323465">
        <w:rPr>
          <w:b/>
        </w:rPr>
        <w:t>Step 2:</w:t>
      </w:r>
      <w:r>
        <w:t xml:space="preserve"> </w:t>
      </w:r>
      <w:r w:rsidR="003F3C07">
        <w:t xml:space="preserve">Click on the link "Download </w:t>
      </w:r>
      <w:proofErr w:type="spellStart"/>
      <w:r w:rsidR="003F3C07" w:rsidRPr="00E83582">
        <w:rPr>
          <w:i/>
        </w:rPr>
        <w:t>R.x.x.x</w:t>
      </w:r>
      <w:proofErr w:type="spellEnd"/>
      <w:r w:rsidR="003F3C07">
        <w:t xml:space="preserve"> for Windows</w:t>
      </w:r>
      <w:r w:rsidR="00EC53B6">
        <w:t>, run the installer and follow the instructions to install R</w:t>
      </w:r>
      <w:r w:rsidR="003F3C07">
        <w:t>.</w:t>
      </w:r>
    </w:p>
    <w:p w14:paraId="0F63A2AD" w14:textId="5569406D" w:rsidR="00406102" w:rsidRDefault="00323465" w:rsidP="00406102">
      <w:r w:rsidRPr="00323465">
        <w:rPr>
          <w:b/>
        </w:rPr>
        <w:t>Step 4:</w:t>
      </w:r>
      <w:r>
        <w:t xml:space="preserve"> </w:t>
      </w:r>
      <w:r w:rsidR="00406102">
        <w:t>Start R and install the</w:t>
      </w:r>
      <w:r w:rsidR="00F33000">
        <w:t xml:space="preserve"> packages </w:t>
      </w:r>
      <w:proofErr w:type="spellStart"/>
      <w:r w:rsidR="00406102" w:rsidRPr="00FA7F59">
        <w:rPr>
          <w:i/>
          <w:iCs/>
        </w:rPr>
        <w:t>lsmeans</w:t>
      </w:r>
      <w:proofErr w:type="spellEnd"/>
      <w:r w:rsidR="00406102">
        <w:t xml:space="preserve">, </w:t>
      </w:r>
      <w:r w:rsidR="006200D9" w:rsidRPr="00FA7F59">
        <w:rPr>
          <w:i/>
          <w:iCs/>
        </w:rPr>
        <w:t>MASS</w:t>
      </w:r>
      <w:r w:rsidR="006200D9">
        <w:t xml:space="preserve">, </w:t>
      </w:r>
      <w:proofErr w:type="spellStart"/>
      <w:r w:rsidR="00FA7F59" w:rsidRPr="00FA7F59">
        <w:rPr>
          <w:i/>
          <w:iCs/>
        </w:rPr>
        <w:t>stringr</w:t>
      </w:r>
      <w:proofErr w:type="spellEnd"/>
      <w:r w:rsidR="00FA7F59">
        <w:t xml:space="preserve">, </w:t>
      </w:r>
      <w:r w:rsidR="00406102" w:rsidRPr="00FA7F59">
        <w:rPr>
          <w:i/>
          <w:iCs/>
        </w:rPr>
        <w:t>reshape</w:t>
      </w:r>
      <w:r w:rsidR="00F33000">
        <w:t xml:space="preserve">, </w:t>
      </w:r>
      <w:proofErr w:type="spellStart"/>
      <w:r w:rsidR="00FA7F59" w:rsidRPr="00FA7F59">
        <w:rPr>
          <w:i/>
          <w:iCs/>
        </w:rPr>
        <w:t>mvtnorm</w:t>
      </w:r>
      <w:proofErr w:type="spellEnd"/>
      <w:r w:rsidR="00FA7F59">
        <w:t xml:space="preserve"> </w:t>
      </w:r>
      <w:r w:rsidR="00F33000">
        <w:t xml:space="preserve">which are required by the software. This can be done </w:t>
      </w:r>
      <w:r w:rsidR="00406102">
        <w:t xml:space="preserve">by typing: </w:t>
      </w:r>
    </w:p>
    <w:p w14:paraId="7C648376" w14:textId="77777777" w:rsidR="006200D9" w:rsidRDefault="006200D9" w:rsidP="00FA7F59">
      <w:pPr>
        <w:spacing w:after="0"/>
        <w:rPr>
          <w:sz w:val="18"/>
          <w:szCs w:val="18"/>
        </w:rPr>
      </w:pPr>
      <w:r>
        <w:tab/>
      </w:r>
      <w:proofErr w:type="spellStart"/>
      <w:r>
        <w:rPr>
          <w:sz w:val="18"/>
          <w:szCs w:val="18"/>
        </w:rPr>
        <w:t>install.packages</w:t>
      </w:r>
      <w:proofErr w:type="spellEnd"/>
      <w:r>
        <w:rPr>
          <w:sz w:val="18"/>
          <w:szCs w:val="18"/>
        </w:rPr>
        <w:t>("</w:t>
      </w:r>
      <w:proofErr w:type="spellStart"/>
      <w:r>
        <w:rPr>
          <w:sz w:val="18"/>
          <w:szCs w:val="18"/>
        </w:rPr>
        <w:t>lsmeans</w:t>
      </w:r>
      <w:proofErr w:type="spellEnd"/>
      <w:r>
        <w:rPr>
          <w:sz w:val="18"/>
          <w:szCs w:val="18"/>
        </w:rPr>
        <w:t>")</w:t>
      </w:r>
      <w:r>
        <w:rPr>
          <w:sz w:val="18"/>
          <w:szCs w:val="18"/>
        </w:rPr>
        <w:br/>
      </w:r>
      <w:r>
        <w:tab/>
      </w:r>
      <w:proofErr w:type="spellStart"/>
      <w:r>
        <w:rPr>
          <w:sz w:val="18"/>
          <w:szCs w:val="18"/>
        </w:rPr>
        <w:t>install.packages</w:t>
      </w:r>
      <w:proofErr w:type="spellEnd"/>
      <w:r>
        <w:rPr>
          <w:sz w:val="18"/>
          <w:szCs w:val="18"/>
        </w:rPr>
        <w:t>("MASS")</w:t>
      </w:r>
    </w:p>
    <w:p w14:paraId="74FD9F77" w14:textId="77777777" w:rsidR="00FA7F59" w:rsidRDefault="00422153" w:rsidP="00FA7F59">
      <w:pPr>
        <w:spacing w:after="0"/>
        <w:rPr>
          <w:sz w:val="18"/>
          <w:szCs w:val="18"/>
        </w:rPr>
      </w:pPr>
      <w:r>
        <w:rPr>
          <w:sz w:val="18"/>
          <w:szCs w:val="18"/>
        </w:rPr>
        <w:tab/>
      </w:r>
      <w:proofErr w:type="spellStart"/>
      <w:r>
        <w:rPr>
          <w:sz w:val="18"/>
          <w:szCs w:val="18"/>
        </w:rPr>
        <w:t>install.packages</w:t>
      </w:r>
      <w:proofErr w:type="spellEnd"/>
      <w:r>
        <w:rPr>
          <w:sz w:val="18"/>
          <w:szCs w:val="18"/>
        </w:rPr>
        <w:t>("</w:t>
      </w:r>
      <w:proofErr w:type="spellStart"/>
      <w:r w:rsidR="00FA7F59" w:rsidRPr="00FA7F59">
        <w:rPr>
          <w:sz w:val="18"/>
          <w:szCs w:val="18"/>
        </w:rPr>
        <w:t>stringr</w:t>
      </w:r>
      <w:proofErr w:type="spellEnd"/>
      <w:r>
        <w:rPr>
          <w:sz w:val="18"/>
          <w:szCs w:val="18"/>
        </w:rPr>
        <w:t>")</w:t>
      </w:r>
    </w:p>
    <w:p w14:paraId="27ABF42C" w14:textId="2685C5AF" w:rsidR="00FA7F59" w:rsidRDefault="00FA7F59" w:rsidP="00FA7F59">
      <w:pPr>
        <w:spacing w:after="0"/>
        <w:ind w:firstLine="720"/>
        <w:rPr>
          <w:sz w:val="18"/>
          <w:szCs w:val="18"/>
        </w:rPr>
      </w:pPr>
      <w:proofErr w:type="spellStart"/>
      <w:r>
        <w:rPr>
          <w:sz w:val="18"/>
          <w:szCs w:val="18"/>
        </w:rPr>
        <w:t>install.packages</w:t>
      </w:r>
      <w:proofErr w:type="spellEnd"/>
      <w:r>
        <w:rPr>
          <w:sz w:val="18"/>
          <w:szCs w:val="18"/>
        </w:rPr>
        <w:t>("reshape")</w:t>
      </w:r>
    </w:p>
    <w:p w14:paraId="2B9C6D48" w14:textId="74E0A793" w:rsidR="00FA7F59" w:rsidRPr="00FA7F59" w:rsidRDefault="00FA7F59" w:rsidP="00FA7F59">
      <w:pPr>
        <w:rPr>
          <w:sz w:val="18"/>
          <w:szCs w:val="18"/>
        </w:rPr>
      </w:pPr>
      <w:r>
        <w:rPr>
          <w:sz w:val="18"/>
          <w:szCs w:val="18"/>
        </w:rPr>
        <w:tab/>
      </w:r>
      <w:proofErr w:type="spellStart"/>
      <w:r>
        <w:rPr>
          <w:sz w:val="18"/>
          <w:szCs w:val="18"/>
        </w:rPr>
        <w:t>install.packages</w:t>
      </w:r>
      <w:proofErr w:type="spellEnd"/>
      <w:r>
        <w:rPr>
          <w:sz w:val="18"/>
          <w:szCs w:val="18"/>
        </w:rPr>
        <w:t>("</w:t>
      </w:r>
      <w:proofErr w:type="spellStart"/>
      <w:r>
        <w:rPr>
          <w:sz w:val="18"/>
          <w:szCs w:val="18"/>
        </w:rPr>
        <w:t>mvtnorm</w:t>
      </w:r>
      <w:proofErr w:type="spellEnd"/>
      <w:r>
        <w:rPr>
          <w:sz w:val="18"/>
          <w:szCs w:val="18"/>
        </w:rPr>
        <w:t>")</w:t>
      </w:r>
    </w:p>
    <w:p w14:paraId="78E3347B" w14:textId="77777777" w:rsidR="00FA7F59" w:rsidRDefault="00FA7F59" w:rsidP="00FA7F59">
      <w:pPr>
        <w:pStyle w:val="Heading2"/>
      </w:pPr>
      <w:r>
        <w:lastRenderedPageBreak/>
        <w:t>Installation Steps</w:t>
      </w:r>
    </w:p>
    <w:p w14:paraId="3F615223" w14:textId="77777777" w:rsidR="00FA7F59" w:rsidRDefault="00FA7F59" w:rsidP="00FA7F59">
      <w:r w:rsidRPr="00810EFD">
        <w:rPr>
          <w:b/>
        </w:rPr>
        <w:t xml:space="preserve">Step 1: </w:t>
      </w:r>
      <w:r>
        <w:t>Double click the appropriate installation file depending on whether your operating system is 32 or 64 bit. (AmigaPowerAnalysis.Installer.Win32.msi or AmigaPowerAnalysis.Installer.Win64.msi). This will run a standard installation. Follow the instructions on the screen – the suggested default settings should apply in most situations.</w:t>
      </w:r>
    </w:p>
    <w:p w14:paraId="1398E182" w14:textId="77777777" w:rsidR="00FA7F59" w:rsidRDefault="00FA7F59" w:rsidP="00FA7F59">
      <w:pPr>
        <w:rPr>
          <w:noProof/>
          <w:lang w:eastAsia="en-GB"/>
        </w:rPr>
      </w:pPr>
      <w:r w:rsidRPr="00810EFD">
        <w:rPr>
          <w:b/>
        </w:rPr>
        <w:t xml:space="preserve">Step </w:t>
      </w:r>
      <w:r>
        <w:rPr>
          <w:b/>
        </w:rPr>
        <w:t>2</w:t>
      </w:r>
      <w:r w:rsidRPr="00810EFD">
        <w:rPr>
          <w:b/>
        </w:rPr>
        <w:t>:</w:t>
      </w:r>
      <w:r>
        <w:t xml:space="preserve"> Start Amiga Power Analysis using the desktop shortcut, from the start menu, or from the installation directory.</w:t>
      </w:r>
      <w:r w:rsidRPr="00140697">
        <w:rPr>
          <w:noProof/>
          <w:lang w:eastAsia="en-GB"/>
        </w:rPr>
        <w:t xml:space="preserve"> </w:t>
      </w:r>
    </w:p>
    <w:p w14:paraId="6B0FF511" w14:textId="77777777" w:rsidR="00FA7F59" w:rsidRDefault="00FA7F59" w:rsidP="00FA7F59">
      <w:pPr>
        <w:jc w:val="center"/>
      </w:pPr>
      <w:r>
        <w:rPr>
          <w:noProof/>
          <w:lang w:eastAsia="en-GB"/>
        </w:rPr>
        <w:drawing>
          <wp:inline distT="0" distB="0" distL="0" distR="0" wp14:anchorId="1429F781" wp14:editId="2908C18B">
            <wp:extent cx="71437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14375" cy="809625"/>
                    </a:xfrm>
                    <a:prstGeom prst="rect">
                      <a:avLst/>
                    </a:prstGeom>
                  </pic:spPr>
                </pic:pic>
              </a:graphicData>
            </a:graphic>
          </wp:inline>
        </w:drawing>
      </w:r>
    </w:p>
    <w:p w14:paraId="5E3979E5" w14:textId="77777777" w:rsidR="00FA7F59" w:rsidRDefault="00FA7F59" w:rsidP="00FA7F59">
      <w:pPr>
        <w:pStyle w:val="Heading1"/>
      </w:pPr>
      <w:r>
        <w:t>Getting Started</w:t>
      </w:r>
    </w:p>
    <w:p w14:paraId="5E06359C" w14:textId="77777777" w:rsidR="00FA7F59" w:rsidRDefault="00FA7F59" w:rsidP="00FA7F59">
      <w:r w:rsidRPr="00B61E72">
        <w:t>Start by opening an existing file or creating a new file.</w:t>
      </w:r>
      <w:r>
        <w:t xml:space="preserve"> The user interface of Amiga Power Analysis is divided into tabs. In the sections below, the functionality of each tab will be explained separately.</w:t>
      </w:r>
    </w:p>
    <w:p w14:paraId="2F437F55" w14:textId="77777777" w:rsidR="00FA7F59" w:rsidRDefault="00FA7F59" w:rsidP="00FA7F59">
      <w:pPr>
        <w:spacing w:before="240"/>
        <w:jc w:val="center"/>
      </w:pPr>
      <w:r>
        <w:rPr>
          <w:noProof/>
          <w:lang w:eastAsia="en-GB"/>
        </w:rPr>
        <w:drawing>
          <wp:inline distT="0" distB="0" distL="0" distR="0" wp14:anchorId="4FF5B561" wp14:editId="203C39CF">
            <wp:extent cx="5760720" cy="392214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922140"/>
                    </a:xfrm>
                    <a:prstGeom prst="rect">
                      <a:avLst/>
                    </a:prstGeom>
                  </pic:spPr>
                </pic:pic>
              </a:graphicData>
            </a:graphic>
          </wp:inline>
        </w:drawing>
      </w:r>
    </w:p>
    <w:p w14:paraId="4B78BBAA" w14:textId="77777777" w:rsidR="00FA7F59" w:rsidRDefault="00FA7F59" w:rsidP="00FA7F59">
      <w:pPr>
        <w:pStyle w:val="Heading2"/>
      </w:pPr>
      <w:r>
        <w:t>Endpoints</w:t>
      </w:r>
    </w:p>
    <w:p w14:paraId="71C45627" w14:textId="77777777" w:rsidR="00FA7F59" w:rsidRDefault="00FA7F59" w:rsidP="00FA7F59">
      <w:r>
        <w:t xml:space="preserve">In the </w:t>
      </w:r>
      <w:r w:rsidRPr="0061083A">
        <w:rPr>
          <w:i/>
        </w:rPr>
        <w:t>endpoints</w:t>
      </w:r>
      <w:r>
        <w:t xml:space="preserve"> tab, the endpoints that are of interest in the field trial are to be specified. For each endpoint indicate its group (retrieves default settings) and if needed adapt the measurement type and limits of concern (LoC). Endpoint groups can be edited under the Options menu.</w:t>
      </w:r>
    </w:p>
    <w:p w14:paraId="2EAC28B4" w14:textId="77777777" w:rsidR="00FA7F59" w:rsidRDefault="00FA7F59" w:rsidP="00422153">
      <w:pPr>
        <w:rPr>
          <w:sz w:val="18"/>
          <w:szCs w:val="18"/>
        </w:rPr>
      </w:pPr>
    </w:p>
    <w:p w14:paraId="0835534D" w14:textId="77777777" w:rsidR="00FA7F59" w:rsidRPr="00323465" w:rsidRDefault="00FA7F59" w:rsidP="00FA7F59">
      <w:pPr>
        <w:rPr>
          <w:i/>
        </w:rPr>
      </w:pPr>
      <w:r>
        <w:rPr>
          <w:sz w:val="18"/>
          <w:szCs w:val="18"/>
        </w:rPr>
        <w:tab/>
      </w:r>
      <w:proofErr w:type="spellStart"/>
      <w:r>
        <w:rPr>
          <w:sz w:val="18"/>
          <w:szCs w:val="18"/>
        </w:rPr>
        <w:t>install.packages</w:t>
      </w:r>
      <w:proofErr w:type="spellEnd"/>
      <w:r>
        <w:rPr>
          <w:sz w:val="18"/>
          <w:szCs w:val="18"/>
        </w:rPr>
        <w:t>("reshape")</w:t>
      </w:r>
    </w:p>
    <w:p w14:paraId="00C9655A" w14:textId="77777777" w:rsidR="00FA7F59" w:rsidRDefault="00FA7F59" w:rsidP="00FA7F59">
      <w:pPr>
        <w:pStyle w:val="Heading2"/>
      </w:pPr>
      <w:r>
        <w:lastRenderedPageBreak/>
        <w:t>Installation Steps</w:t>
      </w:r>
    </w:p>
    <w:p w14:paraId="4941DFE6" w14:textId="77777777" w:rsidR="00FA7F59" w:rsidRDefault="00FA7F59" w:rsidP="00FA7F59">
      <w:r w:rsidRPr="00810EFD">
        <w:rPr>
          <w:b/>
        </w:rPr>
        <w:t xml:space="preserve">Step 1: </w:t>
      </w:r>
      <w:r>
        <w:t>Double click the appropriate installation file depending on whether your operating system is 32 or 64 bit. (AmigaPowerAnalysis.Installer.Win32.msi or AmigaPowerAnalysis.Installer.Win64.msi). This will run a standard installation. Follow the instructions on the screen – the suggested default settings should apply in most situations.</w:t>
      </w:r>
    </w:p>
    <w:p w14:paraId="7F3748DA" w14:textId="77777777" w:rsidR="00FA7F59" w:rsidRDefault="00FA7F59" w:rsidP="00FA7F59">
      <w:pPr>
        <w:rPr>
          <w:noProof/>
          <w:lang w:eastAsia="en-GB"/>
        </w:rPr>
      </w:pPr>
      <w:r w:rsidRPr="00810EFD">
        <w:rPr>
          <w:b/>
        </w:rPr>
        <w:t xml:space="preserve">Step </w:t>
      </w:r>
      <w:r>
        <w:rPr>
          <w:b/>
        </w:rPr>
        <w:t>2</w:t>
      </w:r>
      <w:r w:rsidRPr="00810EFD">
        <w:rPr>
          <w:b/>
        </w:rPr>
        <w:t>:</w:t>
      </w:r>
      <w:r>
        <w:t xml:space="preserve"> Start Amiga Power Analysis using the desktop shortcut, from the start menu, or from the installation directory.</w:t>
      </w:r>
      <w:r w:rsidRPr="00140697">
        <w:rPr>
          <w:noProof/>
          <w:lang w:eastAsia="en-GB"/>
        </w:rPr>
        <w:t xml:space="preserve"> </w:t>
      </w:r>
    </w:p>
    <w:p w14:paraId="06F2D7BF" w14:textId="77777777" w:rsidR="00FA7F59" w:rsidRDefault="00FA7F59" w:rsidP="00FA7F59">
      <w:pPr>
        <w:jc w:val="center"/>
      </w:pPr>
      <w:r>
        <w:rPr>
          <w:noProof/>
          <w:lang w:eastAsia="en-GB"/>
        </w:rPr>
        <w:drawing>
          <wp:inline distT="0" distB="0" distL="0" distR="0" wp14:anchorId="6C645912" wp14:editId="60B9EC77">
            <wp:extent cx="714375" cy="809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14375" cy="809625"/>
                    </a:xfrm>
                    <a:prstGeom prst="rect">
                      <a:avLst/>
                    </a:prstGeom>
                  </pic:spPr>
                </pic:pic>
              </a:graphicData>
            </a:graphic>
          </wp:inline>
        </w:drawing>
      </w:r>
    </w:p>
    <w:p w14:paraId="2D4B7A4D" w14:textId="77777777" w:rsidR="00FA7F59" w:rsidRDefault="00FA7F59" w:rsidP="00FA7F59">
      <w:pPr>
        <w:pStyle w:val="Heading1"/>
      </w:pPr>
      <w:r>
        <w:t>Getting Started</w:t>
      </w:r>
    </w:p>
    <w:p w14:paraId="439FB37D" w14:textId="77777777" w:rsidR="00FA7F59" w:rsidRDefault="00FA7F59" w:rsidP="00FA7F59">
      <w:r w:rsidRPr="00B61E72">
        <w:t>Start by opening an existing file or creating a new file.</w:t>
      </w:r>
      <w:r>
        <w:t xml:space="preserve"> The user interface of Amiga Power Analysis is divided into tabs. In the sections below, the functionality of each tab will be explained separately.</w:t>
      </w:r>
    </w:p>
    <w:p w14:paraId="60B5A23E" w14:textId="77777777" w:rsidR="00FA7F59" w:rsidRDefault="00FA7F59" w:rsidP="00FA7F59">
      <w:pPr>
        <w:spacing w:before="240"/>
        <w:jc w:val="center"/>
      </w:pPr>
      <w:r>
        <w:rPr>
          <w:noProof/>
          <w:lang w:eastAsia="en-GB"/>
        </w:rPr>
        <w:drawing>
          <wp:inline distT="0" distB="0" distL="0" distR="0" wp14:anchorId="57B184D8" wp14:editId="504236B9">
            <wp:extent cx="5760720" cy="392214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922140"/>
                    </a:xfrm>
                    <a:prstGeom prst="rect">
                      <a:avLst/>
                    </a:prstGeom>
                  </pic:spPr>
                </pic:pic>
              </a:graphicData>
            </a:graphic>
          </wp:inline>
        </w:drawing>
      </w:r>
    </w:p>
    <w:p w14:paraId="331E0A94" w14:textId="77777777" w:rsidR="00FA7F59" w:rsidRDefault="00FA7F59" w:rsidP="00FA7F59">
      <w:pPr>
        <w:pStyle w:val="Heading2"/>
      </w:pPr>
      <w:r>
        <w:t>Endpoints</w:t>
      </w:r>
    </w:p>
    <w:p w14:paraId="22889261" w14:textId="77777777" w:rsidR="00FA7F59" w:rsidRDefault="00FA7F59" w:rsidP="00FA7F59">
      <w:r>
        <w:t xml:space="preserve">In the </w:t>
      </w:r>
      <w:r w:rsidRPr="0061083A">
        <w:rPr>
          <w:i/>
        </w:rPr>
        <w:t>endpoints</w:t>
      </w:r>
      <w:r>
        <w:t xml:space="preserve"> tab, the endpoints that are of interest in the field trial are to be specified. For each endpoint indicate its group (retrieves default settings) and if needed adapt the measurement type and limits of concern (LoC). Endpoint groups can be edited under the Options menu.</w:t>
      </w:r>
    </w:p>
    <w:p w14:paraId="363E1EEE" w14:textId="77777777" w:rsidR="00FA7F59" w:rsidRPr="00323465" w:rsidRDefault="00FA7F59" w:rsidP="00422153">
      <w:pPr>
        <w:rPr>
          <w:i/>
        </w:rPr>
      </w:pPr>
    </w:p>
    <w:p w14:paraId="1F8355B4" w14:textId="77777777" w:rsidR="00722E05" w:rsidRDefault="00722E05" w:rsidP="00722E05">
      <w:pPr>
        <w:pStyle w:val="Heading2"/>
      </w:pPr>
      <w:r>
        <w:lastRenderedPageBreak/>
        <w:t>Installation Steps</w:t>
      </w:r>
    </w:p>
    <w:p w14:paraId="0C7BAFF6" w14:textId="77777777" w:rsidR="00422153" w:rsidRDefault="00722E05" w:rsidP="00422153">
      <w:r w:rsidRPr="00810EFD">
        <w:rPr>
          <w:b/>
        </w:rPr>
        <w:t xml:space="preserve">Step 1: </w:t>
      </w:r>
      <w:r w:rsidR="00422153">
        <w:t>Double click the appropriate installation file depending on whether your operating system is 32 or 64 bit. (AmigaPowerAnalysis.Installer.Win32.msi or AmigaPowerAnalysis.Installer.Win64.msi). This will run a standard installation. Follow the instructions on the screen – the suggested default settings should apply in most situations.</w:t>
      </w:r>
    </w:p>
    <w:p w14:paraId="001A347B" w14:textId="77777777" w:rsidR="00722E05" w:rsidRDefault="00722E05" w:rsidP="00722E05">
      <w:pPr>
        <w:rPr>
          <w:noProof/>
          <w:lang w:eastAsia="en-GB"/>
        </w:rPr>
      </w:pPr>
      <w:r w:rsidRPr="00810EFD">
        <w:rPr>
          <w:b/>
        </w:rPr>
        <w:t xml:space="preserve">Step </w:t>
      </w:r>
      <w:r w:rsidR="00A313A0">
        <w:rPr>
          <w:b/>
        </w:rPr>
        <w:t>2</w:t>
      </w:r>
      <w:r w:rsidRPr="00810EFD">
        <w:rPr>
          <w:b/>
        </w:rPr>
        <w:t>:</w:t>
      </w:r>
      <w:r>
        <w:t xml:space="preserve"> Start </w:t>
      </w:r>
      <w:r w:rsidR="00A313A0">
        <w:t xml:space="preserve">Amiga Power Analysis </w:t>
      </w:r>
      <w:r>
        <w:t>using the desktop shortcut, from the start menu, or from the installation directory.</w:t>
      </w:r>
      <w:r w:rsidRPr="00140697">
        <w:rPr>
          <w:noProof/>
          <w:lang w:eastAsia="en-GB"/>
        </w:rPr>
        <w:t xml:space="preserve"> </w:t>
      </w:r>
    </w:p>
    <w:p w14:paraId="085C0A6F" w14:textId="77777777" w:rsidR="00722E05" w:rsidRDefault="0024610B" w:rsidP="00722E05">
      <w:pPr>
        <w:jc w:val="center"/>
      </w:pPr>
      <w:r>
        <w:rPr>
          <w:noProof/>
          <w:lang w:eastAsia="en-GB"/>
        </w:rPr>
        <w:drawing>
          <wp:inline distT="0" distB="0" distL="0" distR="0" wp14:anchorId="41EADA3B" wp14:editId="69C2E153">
            <wp:extent cx="714375" cy="80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14375" cy="809625"/>
                    </a:xfrm>
                    <a:prstGeom prst="rect">
                      <a:avLst/>
                    </a:prstGeom>
                  </pic:spPr>
                </pic:pic>
              </a:graphicData>
            </a:graphic>
          </wp:inline>
        </w:drawing>
      </w:r>
    </w:p>
    <w:p w14:paraId="4E08FD32" w14:textId="77777777" w:rsidR="00722E05" w:rsidRDefault="00722E05" w:rsidP="00722E05">
      <w:pPr>
        <w:pStyle w:val="Heading1"/>
      </w:pPr>
      <w:r>
        <w:t>Getting Started</w:t>
      </w:r>
    </w:p>
    <w:p w14:paraId="49E64A36" w14:textId="77777777" w:rsidR="00722E05" w:rsidRDefault="00B61E72" w:rsidP="00722E05">
      <w:r w:rsidRPr="00B61E72">
        <w:t>Start by opening an existing file or creating a new file.</w:t>
      </w:r>
      <w:r>
        <w:t xml:space="preserve"> </w:t>
      </w:r>
      <w:r w:rsidR="00217378">
        <w:t>The user interface of Amiga Power Analysis is divided into tabs.</w:t>
      </w:r>
      <w:r>
        <w:t xml:space="preserve"> In the sections below, the functionality of each tab will be explained separately.</w:t>
      </w:r>
    </w:p>
    <w:p w14:paraId="22B9C91E" w14:textId="77777777" w:rsidR="00D468A2" w:rsidRDefault="00682B75" w:rsidP="009A6020">
      <w:pPr>
        <w:spacing w:before="240"/>
        <w:jc w:val="center"/>
      </w:pPr>
      <w:r>
        <w:rPr>
          <w:noProof/>
          <w:lang w:eastAsia="en-GB"/>
        </w:rPr>
        <w:drawing>
          <wp:inline distT="0" distB="0" distL="0" distR="0" wp14:anchorId="744B2077" wp14:editId="012963FB">
            <wp:extent cx="5760720" cy="39221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922140"/>
                    </a:xfrm>
                    <a:prstGeom prst="rect">
                      <a:avLst/>
                    </a:prstGeom>
                  </pic:spPr>
                </pic:pic>
              </a:graphicData>
            </a:graphic>
          </wp:inline>
        </w:drawing>
      </w:r>
    </w:p>
    <w:p w14:paraId="4C655306" w14:textId="77777777" w:rsidR="00C86DCE" w:rsidRDefault="00217378" w:rsidP="00C86DCE">
      <w:pPr>
        <w:pStyle w:val="Heading2"/>
      </w:pPr>
      <w:r>
        <w:t>Endpoints</w:t>
      </w:r>
    </w:p>
    <w:p w14:paraId="662EDFD3" w14:textId="77777777" w:rsidR="00187DB4" w:rsidRDefault="009A6020" w:rsidP="00187DB4">
      <w:r>
        <w:t xml:space="preserve">In the </w:t>
      </w:r>
      <w:r w:rsidRPr="0061083A">
        <w:rPr>
          <w:i/>
        </w:rPr>
        <w:t>endpoints</w:t>
      </w:r>
      <w:r>
        <w:t xml:space="preserve"> tab, the </w:t>
      </w:r>
      <w:r w:rsidR="00187DB4">
        <w:t>endpoints</w:t>
      </w:r>
      <w:r>
        <w:t xml:space="preserve"> that are of interest in the field trial are to be specified</w:t>
      </w:r>
      <w:r w:rsidR="00655325">
        <w:t>.</w:t>
      </w:r>
      <w:r w:rsidR="0024610B">
        <w:t xml:space="preserve"> For each endpoint indicate its group (retrieves default settings) and if needed adapt the measurement type and limits of concern (LoC). Endpoint groups can be edited under the Options menu.</w:t>
      </w:r>
    </w:p>
    <w:p w14:paraId="2F4D88E8" w14:textId="77777777" w:rsidR="00682B75" w:rsidRDefault="00B01EFB" w:rsidP="00655325">
      <w:pPr>
        <w:spacing w:before="240"/>
      </w:pPr>
      <w:r>
        <w:rPr>
          <w:noProof/>
          <w:lang w:eastAsia="en-GB"/>
        </w:rPr>
        <w:lastRenderedPageBreak/>
        <w:drawing>
          <wp:inline distT="0" distB="0" distL="0" distR="0" wp14:anchorId="2BED3348" wp14:editId="45D5133F">
            <wp:extent cx="5760720" cy="3263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63755"/>
                    </a:xfrm>
                    <a:prstGeom prst="rect">
                      <a:avLst/>
                    </a:prstGeom>
                  </pic:spPr>
                </pic:pic>
              </a:graphicData>
            </a:graphic>
          </wp:inline>
        </w:drawing>
      </w:r>
    </w:p>
    <w:p w14:paraId="4C89EB4C" w14:textId="77777777" w:rsidR="00187DB4" w:rsidRDefault="00187DB4" w:rsidP="00655325">
      <w:pPr>
        <w:spacing w:before="240"/>
      </w:pPr>
      <w:r>
        <w:t>Endpoints can be of different measurement types:</w:t>
      </w:r>
    </w:p>
    <w:p w14:paraId="6214933B" w14:textId="77777777" w:rsidR="00187DB4" w:rsidRDefault="00187DB4" w:rsidP="00187DB4">
      <w:pPr>
        <w:pStyle w:val="ListParagraph"/>
        <w:numPr>
          <w:ilvl w:val="0"/>
          <w:numId w:val="26"/>
        </w:numPr>
      </w:pPr>
      <w:r w:rsidRPr="00231BD6">
        <w:rPr>
          <w:b/>
        </w:rPr>
        <w:t>Count data:</w:t>
      </w:r>
      <w:r>
        <w:t xml:space="preserve"> </w:t>
      </w:r>
      <w:r w:rsidR="00177770">
        <w:t xml:space="preserve">e.g., </w:t>
      </w:r>
      <w:r>
        <w:t>the number of organisms found on each experimental unit.</w:t>
      </w:r>
    </w:p>
    <w:p w14:paraId="4A61295B" w14:textId="77777777" w:rsidR="00187DB4" w:rsidRDefault="00187DB4" w:rsidP="00187DB4">
      <w:pPr>
        <w:pStyle w:val="ListParagraph"/>
        <w:numPr>
          <w:ilvl w:val="0"/>
          <w:numId w:val="26"/>
        </w:numPr>
      </w:pPr>
      <w:r w:rsidRPr="00231BD6">
        <w:rPr>
          <w:b/>
        </w:rPr>
        <w:t>Non-negative data:</w:t>
      </w:r>
      <w:r>
        <w:t xml:space="preserve"> </w:t>
      </w:r>
      <w:r w:rsidR="00177770">
        <w:t>all measurement values are zero or positive (</w:t>
      </w:r>
      <w:r>
        <w:t>occurs when the measuring time trend curves</w:t>
      </w:r>
      <w:r w:rsidR="00177770">
        <w:t>)</w:t>
      </w:r>
      <w:r>
        <w:t>.</w:t>
      </w:r>
    </w:p>
    <w:p w14:paraId="0C7C699E" w14:textId="77777777" w:rsidR="000839D9" w:rsidRDefault="00187DB4" w:rsidP="000839D9">
      <w:pPr>
        <w:pStyle w:val="ListParagraph"/>
        <w:numPr>
          <w:ilvl w:val="0"/>
          <w:numId w:val="26"/>
        </w:numPr>
      </w:pPr>
      <w:r w:rsidRPr="00231BD6">
        <w:rPr>
          <w:b/>
        </w:rPr>
        <w:t>Continuous data:</w:t>
      </w:r>
      <w:r>
        <w:t xml:space="preserve"> there is no limit on the measurement values.</w:t>
      </w:r>
    </w:p>
    <w:p w14:paraId="1BEC98E9" w14:textId="77777777" w:rsidR="00C62BDA" w:rsidRPr="00C62BDA" w:rsidRDefault="00187DB4" w:rsidP="00C62BDA">
      <w:pPr>
        <w:spacing w:before="240"/>
      </w:pPr>
      <w:r>
        <w:t xml:space="preserve">An essential part of ERA is that for each endpoint, it should be decided beforehand which levels of </w:t>
      </w:r>
      <w:r w:rsidR="00DB5D9C">
        <w:t>change</w:t>
      </w:r>
      <w:r>
        <w:t xml:space="preserve"> between the test and the comparator are still acceptable, and at what level, a </w:t>
      </w:r>
      <w:r w:rsidR="00DB5D9C">
        <w:t xml:space="preserve">change </w:t>
      </w:r>
      <w:r>
        <w:t>becomes too high to be ignored.</w:t>
      </w:r>
      <w:r w:rsidR="001C5244">
        <w:t xml:space="preserve"> </w:t>
      </w:r>
      <w:r>
        <w:t xml:space="preserve">In this software, these limits are defined in terms of </w:t>
      </w:r>
      <w:r w:rsidR="00C62BDA">
        <w:t xml:space="preserve">the </w:t>
      </w:r>
      <w:r>
        <w:t>limit of concern (LoC</w:t>
      </w:r>
      <w:r w:rsidR="00C62BDA">
        <w:t xml:space="preserve">) </w:t>
      </w:r>
      <w:r w:rsidR="00C62BDA" w:rsidRPr="00C62BDA">
        <w:t>(EFSA 2010)</w:t>
      </w:r>
      <w:r w:rsidR="00C62BDA">
        <w:t xml:space="preserve">. </w:t>
      </w:r>
      <w:r w:rsidR="00DB5D9C">
        <w:t xml:space="preserve">For counts and non-negative data, </w:t>
      </w:r>
      <w:r w:rsidR="00C62BDA">
        <w:t xml:space="preserve">Limits of Concern are </w:t>
      </w:r>
      <w:r w:rsidR="00DB5D9C">
        <w:t xml:space="preserve">expressed as </w:t>
      </w:r>
      <w:r w:rsidR="00C62BDA">
        <w:t>ratios of the expected values for the test</w:t>
      </w:r>
      <w:r w:rsidR="00DB5D9C">
        <w:t xml:space="preserve"> </w:t>
      </w:r>
      <w:r w:rsidR="00C62BDA">
        <w:t xml:space="preserve">variety </w:t>
      </w:r>
      <w:r w:rsidR="00C62BDA" w:rsidRPr="00C62BDA">
        <w:t>(</w:t>
      </w:r>
      <w:r w:rsidR="00C62BDA" w:rsidRPr="00C62BDA">
        <w:rPr>
          <w:i/>
        </w:rPr>
        <w:t>µ</w:t>
      </w:r>
      <w:r w:rsidR="00C62BDA" w:rsidRPr="00C62BDA">
        <w:rPr>
          <w:i/>
          <w:vertAlign w:val="subscript"/>
        </w:rPr>
        <w:t>T</w:t>
      </w:r>
      <w:r w:rsidR="00C62BDA" w:rsidRPr="00C62BDA">
        <w:t xml:space="preserve">) </w:t>
      </w:r>
      <w:r w:rsidR="00C62BDA">
        <w:t xml:space="preserve">and the comparator variety </w:t>
      </w:r>
      <w:r w:rsidR="00C62BDA" w:rsidRPr="00C62BDA">
        <w:t>(</w:t>
      </w:r>
      <w:r w:rsidR="00C62BDA" w:rsidRPr="00C62BDA">
        <w:rPr>
          <w:i/>
        </w:rPr>
        <w:t>µ</w:t>
      </w:r>
      <w:r w:rsidR="00C62BDA" w:rsidRPr="00C62BDA">
        <w:rPr>
          <w:i/>
          <w:vertAlign w:val="subscript"/>
        </w:rPr>
        <w:t>C</w:t>
      </w:r>
      <w:r w:rsidR="00C62BDA" w:rsidRPr="00C62BDA">
        <w:t>)</w:t>
      </w:r>
      <w:r w:rsidR="00C62BDA">
        <w:t>, i.e.,</w:t>
      </w:r>
    </w:p>
    <w:p w14:paraId="5EB2D332" w14:textId="77777777" w:rsidR="00C62BDA" w:rsidRPr="00C62BDA" w:rsidRDefault="00C62BDA" w:rsidP="00C62BDA">
      <w:pPr>
        <w:spacing w:before="240"/>
        <w:jc w:val="center"/>
      </w:pPr>
      <m:oMath>
        <m:r>
          <m:rPr>
            <m:nor/>
          </m:rPr>
          <m:t>LoC</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μ</m:t>
                </m:r>
              </m:e>
              <m:sub>
                <m:r>
                  <w:rPr>
                    <w:rFonts w:ascii="Cambria Math" w:hAnsi="Cambria Math"/>
                  </w:rPr>
                  <m:t>C</m:t>
                </m:r>
              </m:sub>
            </m:sSub>
          </m:den>
        </m:f>
      </m:oMath>
      <w:r w:rsidRPr="00C62BDA">
        <w:t xml:space="preserve"> .</w:t>
      </w:r>
    </w:p>
    <w:p w14:paraId="0D5D19FB" w14:textId="77777777" w:rsidR="00C86DCE" w:rsidRDefault="00C62BDA" w:rsidP="000F5656">
      <w:pPr>
        <w:spacing w:before="240"/>
      </w:pPr>
      <w:r w:rsidRPr="00C62BDA">
        <w:t>Given this measure, a twofold (or -50%) decrease in abundance is, for example, represented by LoC = 0.5, a twofold (or +100%) increase in abundance is represented by LoC = 2, and LoC = 1 refers to equality.</w:t>
      </w:r>
      <w:r>
        <w:t xml:space="preserve"> Within these limits there is no concern about safety. </w:t>
      </w:r>
      <w:r w:rsidR="00C86DCE">
        <w:t>Provide a lower LoC, an upper LoC, or both. Unspecified (</w:t>
      </w:r>
      <w:proofErr w:type="spellStart"/>
      <w:r w:rsidR="00C86DCE">
        <w:t>NaN</w:t>
      </w:r>
      <w:proofErr w:type="spellEnd"/>
      <w:r w:rsidR="00C86DCE">
        <w:t>) means no concern for changes in that direction.</w:t>
      </w:r>
      <w:r w:rsidR="00DB5D9C">
        <w:t xml:space="preserve"> </w:t>
      </w:r>
      <w:r w:rsidR="00DB5D9C" w:rsidRPr="00DB5D9C">
        <w:t>For continuous data, Limits of Concern are specified as differences instead of ratios.</w:t>
      </w:r>
    </w:p>
    <w:p w14:paraId="47BA6C7A" w14:textId="77777777" w:rsidR="00CD296F" w:rsidRDefault="00CD296F" w:rsidP="00CD296F">
      <w:pPr>
        <w:spacing w:after="0"/>
      </w:pPr>
    </w:p>
    <w:tbl>
      <w:tblPr>
        <w:tblStyle w:val="TableGrid"/>
        <w:tblW w:w="9045" w:type="dxa"/>
        <w:jc w:val="center"/>
        <w:tblLook w:val="04A0" w:firstRow="1" w:lastRow="0" w:firstColumn="1" w:lastColumn="0" w:noHBand="0" w:noVBand="1"/>
      </w:tblPr>
      <w:tblGrid>
        <w:gridCol w:w="1522"/>
        <w:gridCol w:w="1191"/>
        <w:gridCol w:w="1191"/>
        <w:gridCol w:w="1148"/>
        <w:gridCol w:w="3993"/>
      </w:tblGrid>
      <w:tr w:rsidR="00CD296F" w:rsidRPr="00D87FC5" w14:paraId="36186534" w14:textId="77777777" w:rsidTr="00DE593C">
        <w:trPr>
          <w:jc w:val="center"/>
        </w:trPr>
        <w:tc>
          <w:tcPr>
            <w:tcW w:w="1522" w:type="dxa"/>
          </w:tcPr>
          <w:p w14:paraId="55E06A4C" w14:textId="77777777" w:rsidR="00CD296F" w:rsidRPr="00D87FC5" w:rsidRDefault="00CD296F" w:rsidP="00DE593C">
            <w:pPr>
              <w:jc w:val="left"/>
              <w:rPr>
                <w:b/>
                <w:sz w:val="20"/>
              </w:rPr>
            </w:pPr>
            <w:r w:rsidRPr="00D87FC5">
              <w:rPr>
                <w:b/>
                <w:sz w:val="20"/>
              </w:rPr>
              <w:t>Measurement types</w:t>
            </w:r>
          </w:p>
        </w:tc>
        <w:tc>
          <w:tcPr>
            <w:tcW w:w="1191" w:type="dxa"/>
          </w:tcPr>
          <w:p w14:paraId="1D5AC79E" w14:textId="77777777" w:rsidR="00CD296F" w:rsidRPr="00D87FC5" w:rsidRDefault="00CD296F" w:rsidP="00DE593C">
            <w:pPr>
              <w:jc w:val="left"/>
              <w:rPr>
                <w:b/>
                <w:sz w:val="20"/>
              </w:rPr>
            </w:pPr>
            <w:r w:rsidRPr="00D87FC5">
              <w:rPr>
                <w:b/>
                <w:sz w:val="20"/>
              </w:rPr>
              <w:t>Constraint</w:t>
            </w:r>
          </w:p>
          <w:p w14:paraId="3EA8C25A" w14:textId="77777777" w:rsidR="00CD296F" w:rsidRPr="00D87FC5" w:rsidRDefault="00CD296F" w:rsidP="00DE593C">
            <w:pPr>
              <w:jc w:val="left"/>
              <w:rPr>
                <w:b/>
                <w:sz w:val="20"/>
              </w:rPr>
            </w:pPr>
            <w:proofErr w:type="spellStart"/>
            <w:r w:rsidRPr="00D87FC5">
              <w:rPr>
                <w:b/>
                <w:sz w:val="20"/>
              </w:rPr>
              <w:t>loc</w:t>
            </w:r>
            <w:proofErr w:type="spellEnd"/>
            <w:r w:rsidRPr="00D87FC5">
              <w:rPr>
                <w:b/>
                <w:sz w:val="20"/>
              </w:rPr>
              <w:t xml:space="preserve"> lower</w:t>
            </w:r>
          </w:p>
        </w:tc>
        <w:tc>
          <w:tcPr>
            <w:tcW w:w="1191" w:type="dxa"/>
          </w:tcPr>
          <w:p w14:paraId="6B34DB3F" w14:textId="77777777" w:rsidR="00CD296F" w:rsidRPr="00D87FC5" w:rsidRDefault="00CD296F" w:rsidP="00DE593C">
            <w:pPr>
              <w:jc w:val="left"/>
              <w:rPr>
                <w:b/>
                <w:sz w:val="20"/>
              </w:rPr>
            </w:pPr>
            <w:r w:rsidRPr="00D87FC5">
              <w:rPr>
                <w:b/>
                <w:sz w:val="20"/>
              </w:rPr>
              <w:t>Constraint</w:t>
            </w:r>
          </w:p>
          <w:p w14:paraId="65CBF6F2" w14:textId="77777777" w:rsidR="00CD296F" w:rsidRPr="00D87FC5" w:rsidRDefault="00CD296F" w:rsidP="00DE593C">
            <w:pPr>
              <w:jc w:val="left"/>
              <w:rPr>
                <w:b/>
                <w:sz w:val="20"/>
              </w:rPr>
            </w:pPr>
            <w:proofErr w:type="spellStart"/>
            <w:r w:rsidRPr="00D87FC5">
              <w:rPr>
                <w:b/>
                <w:sz w:val="20"/>
              </w:rPr>
              <w:t>loc</w:t>
            </w:r>
            <w:proofErr w:type="spellEnd"/>
            <w:r w:rsidRPr="00D87FC5">
              <w:rPr>
                <w:b/>
                <w:sz w:val="20"/>
              </w:rPr>
              <w:t xml:space="preserve"> upper</w:t>
            </w:r>
          </w:p>
        </w:tc>
        <w:tc>
          <w:tcPr>
            <w:tcW w:w="1148" w:type="dxa"/>
          </w:tcPr>
          <w:p w14:paraId="5CCD93E1" w14:textId="77777777" w:rsidR="00CD296F" w:rsidRPr="00D87FC5" w:rsidRDefault="00CD296F" w:rsidP="00DE593C">
            <w:pPr>
              <w:jc w:val="left"/>
              <w:rPr>
                <w:b/>
                <w:sz w:val="20"/>
              </w:rPr>
            </w:pPr>
            <w:r w:rsidRPr="00D87FC5">
              <w:rPr>
                <w:b/>
                <w:sz w:val="20"/>
              </w:rPr>
              <w:t>No difference</w:t>
            </w:r>
          </w:p>
        </w:tc>
        <w:tc>
          <w:tcPr>
            <w:tcW w:w="3993" w:type="dxa"/>
          </w:tcPr>
          <w:p w14:paraId="55AF0324" w14:textId="77777777" w:rsidR="00CD296F" w:rsidRPr="00D87FC5" w:rsidRDefault="00CD296F" w:rsidP="00DE593C">
            <w:pPr>
              <w:jc w:val="left"/>
              <w:rPr>
                <w:b/>
                <w:sz w:val="20"/>
              </w:rPr>
            </w:pPr>
            <w:r w:rsidRPr="00D87FC5">
              <w:rPr>
                <w:b/>
                <w:sz w:val="20"/>
              </w:rPr>
              <w:t>Remarks</w:t>
            </w:r>
          </w:p>
        </w:tc>
      </w:tr>
      <w:tr w:rsidR="00CD296F" w:rsidRPr="00D87FC5" w14:paraId="35708AFF" w14:textId="77777777" w:rsidTr="00DE593C">
        <w:trPr>
          <w:trHeight w:val="74"/>
          <w:jc w:val="center"/>
        </w:trPr>
        <w:tc>
          <w:tcPr>
            <w:tcW w:w="1522" w:type="dxa"/>
          </w:tcPr>
          <w:p w14:paraId="60EF4FA9" w14:textId="77777777" w:rsidR="00CD296F" w:rsidRPr="00D87FC5" w:rsidRDefault="00CD296F" w:rsidP="00DE593C">
            <w:pPr>
              <w:jc w:val="left"/>
              <w:rPr>
                <w:sz w:val="20"/>
              </w:rPr>
            </w:pPr>
            <w:r w:rsidRPr="00D87FC5">
              <w:rPr>
                <w:sz w:val="20"/>
              </w:rPr>
              <w:t>Counts</w:t>
            </w:r>
          </w:p>
        </w:tc>
        <w:tc>
          <w:tcPr>
            <w:tcW w:w="1191" w:type="dxa"/>
          </w:tcPr>
          <w:p w14:paraId="57CFE314" w14:textId="77777777" w:rsidR="00CD296F" w:rsidRPr="00D87FC5" w:rsidRDefault="00CD296F" w:rsidP="00DE593C">
            <w:pPr>
              <w:jc w:val="left"/>
              <w:rPr>
                <w:sz w:val="20"/>
              </w:rPr>
            </w:pPr>
            <w:r w:rsidRPr="00D87FC5">
              <w:rPr>
                <w:sz w:val="20"/>
              </w:rPr>
              <w:t>&gt; 0</w:t>
            </w:r>
          </w:p>
        </w:tc>
        <w:tc>
          <w:tcPr>
            <w:tcW w:w="1191" w:type="dxa"/>
          </w:tcPr>
          <w:p w14:paraId="5D476A8E" w14:textId="77777777" w:rsidR="00CD296F" w:rsidRPr="00D87FC5" w:rsidRDefault="00CD296F" w:rsidP="00DE593C">
            <w:pPr>
              <w:jc w:val="left"/>
              <w:rPr>
                <w:sz w:val="20"/>
              </w:rPr>
            </w:pPr>
            <w:r w:rsidRPr="00D87FC5">
              <w:rPr>
                <w:sz w:val="20"/>
              </w:rPr>
              <w:t>NA</w:t>
            </w:r>
          </w:p>
        </w:tc>
        <w:tc>
          <w:tcPr>
            <w:tcW w:w="1148" w:type="dxa"/>
          </w:tcPr>
          <w:p w14:paraId="17CF9FD5" w14:textId="77777777" w:rsidR="00CD296F" w:rsidRPr="00D87FC5" w:rsidRDefault="00CD296F" w:rsidP="00DE593C">
            <w:pPr>
              <w:jc w:val="left"/>
              <w:rPr>
                <w:sz w:val="20"/>
              </w:rPr>
            </w:pPr>
            <w:r w:rsidRPr="00D87FC5">
              <w:rPr>
                <w:sz w:val="20"/>
              </w:rPr>
              <w:t>LoC = 1</w:t>
            </w:r>
          </w:p>
        </w:tc>
        <w:tc>
          <w:tcPr>
            <w:tcW w:w="3993" w:type="dxa"/>
          </w:tcPr>
          <w:p w14:paraId="1333647B" w14:textId="77777777" w:rsidR="00CD296F" w:rsidRPr="00D87FC5" w:rsidRDefault="00CD296F" w:rsidP="00DE593C">
            <w:pPr>
              <w:jc w:val="left"/>
              <w:rPr>
                <w:sz w:val="20"/>
              </w:rPr>
            </w:pPr>
            <w:r w:rsidRPr="00D87FC5">
              <w:rPr>
                <w:sz w:val="20"/>
              </w:rPr>
              <w:t>Suitable when the endpoint data is described in terms of the number of organisms found on each experimental unit.</w:t>
            </w:r>
          </w:p>
          <w:p w14:paraId="35A27BB4" w14:textId="77777777" w:rsidR="00CD296F" w:rsidRPr="00D87FC5" w:rsidRDefault="00DB5D9C" w:rsidP="00DB5D9C">
            <w:pPr>
              <w:jc w:val="left"/>
              <w:rPr>
                <w:sz w:val="20"/>
              </w:rPr>
            </w:pPr>
            <w:r>
              <w:rPr>
                <w:sz w:val="20"/>
              </w:rPr>
              <w:t>Lo</w:t>
            </w:r>
            <w:r w:rsidR="00CD296F" w:rsidRPr="00D87FC5">
              <w:rPr>
                <w:sz w:val="20"/>
              </w:rPr>
              <w:t xml:space="preserve">C refers to the ratio R of the </w:t>
            </w:r>
            <w:r>
              <w:rPr>
                <w:sz w:val="20"/>
              </w:rPr>
              <w:t>test</w:t>
            </w:r>
            <w:r w:rsidR="00CD296F" w:rsidRPr="00D87FC5">
              <w:rPr>
                <w:sz w:val="20"/>
              </w:rPr>
              <w:t xml:space="preserve"> mean and the </w:t>
            </w:r>
            <w:r>
              <w:rPr>
                <w:sz w:val="20"/>
              </w:rPr>
              <w:t>comparator</w:t>
            </w:r>
            <w:r w:rsidR="00CD296F" w:rsidRPr="00D87FC5">
              <w:rPr>
                <w:sz w:val="20"/>
              </w:rPr>
              <w:t xml:space="preserve"> mean, i.e., R = </w:t>
            </w:r>
            <w:r w:rsidRPr="00C62BDA">
              <w:rPr>
                <w:i/>
              </w:rPr>
              <w:t>µ</w:t>
            </w:r>
            <w:r w:rsidRPr="00C62BDA">
              <w:rPr>
                <w:i/>
                <w:vertAlign w:val="subscript"/>
              </w:rPr>
              <w:t>T</w:t>
            </w:r>
            <w:r w:rsidRPr="00D87FC5">
              <w:rPr>
                <w:sz w:val="20"/>
              </w:rPr>
              <w:t xml:space="preserve"> </w:t>
            </w:r>
            <w:r w:rsidR="00CD296F" w:rsidRPr="00D87FC5">
              <w:rPr>
                <w:sz w:val="20"/>
              </w:rPr>
              <w:t>/</w:t>
            </w:r>
            <w:r w:rsidRPr="00C62BDA">
              <w:rPr>
                <w:i/>
              </w:rPr>
              <w:t xml:space="preserve"> µ</w:t>
            </w:r>
            <w:r>
              <w:rPr>
                <w:i/>
                <w:vertAlign w:val="subscript"/>
              </w:rPr>
              <w:t>C</w:t>
            </w:r>
            <w:r w:rsidRPr="00D87FC5">
              <w:rPr>
                <w:sz w:val="20"/>
              </w:rPr>
              <w:t xml:space="preserve"> </w:t>
            </w:r>
            <w:r w:rsidR="00CD296F" w:rsidRPr="00D87FC5">
              <w:rPr>
                <w:sz w:val="20"/>
              </w:rPr>
              <w:t>.</w:t>
            </w:r>
          </w:p>
        </w:tc>
      </w:tr>
      <w:tr w:rsidR="00CD296F" w:rsidRPr="00D87FC5" w14:paraId="5307F91E" w14:textId="77777777" w:rsidTr="00DE593C">
        <w:trPr>
          <w:jc w:val="center"/>
        </w:trPr>
        <w:tc>
          <w:tcPr>
            <w:tcW w:w="1522" w:type="dxa"/>
          </w:tcPr>
          <w:p w14:paraId="399133FA" w14:textId="77777777" w:rsidR="00CD296F" w:rsidRPr="00D87FC5" w:rsidRDefault="00CD296F" w:rsidP="00DE593C">
            <w:pPr>
              <w:jc w:val="left"/>
              <w:rPr>
                <w:sz w:val="20"/>
              </w:rPr>
            </w:pPr>
            <w:r w:rsidRPr="00D87FC5">
              <w:rPr>
                <w:sz w:val="20"/>
              </w:rPr>
              <w:t>Nonnegative</w:t>
            </w:r>
          </w:p>
        </w:tc>
        <w:tc>
          <w:tcPr>
            <w:tcW w:w="1191" w:type="dxa"/>
          </w:tcPr>
          <w:p w14:paraId="1283C169" w14:textId="77777777" w:rsidR="00CD296F" w:rsidRPr="00D87FC5" w:rsidRDefault="00CD296F" w:rsidP="00DE593C">
            <w:pPr>
              <w:jc w:val="left"/>
              <w:rPr>
                <w:sz w:val="20"/>
              </w:rPr>
            </w:pPr>
            <w:r w:rsidRPr="00D87FC5">
              <w:rPr>
                <w:sz w:val="20"/>
              </w:rPr>
              <w:t>&gt; 0</w:t>
            </w:r>
          </w:p>
        </w:tc>
        <w:tc>
          <w:tcPr>
            <w:tcW w:w="1191" w:type="dxa"/>
          </w:tcPr>
          <w:p w14:paraId="639F8679" w14:textId="77777777" w:rsidR="00CD296F" w:rsidRPr="00D87FC5" w:rsidRDefault="00CD296F" w:rsidP="00DE593C">
            <w:pPr>
              <w:keepNext/>
              <w:jc w:val="left"/>
              <w:rPr>
                <w:sz w:val="20"/>
              </w:rPr>
            </w:pPr>
            <w:r w:rsidRPr="00D87FC5">
              <w:rPr>
                <w:sz w:val="20"/>
              </w:rPr>
              <w:t>NA</w:t>
            </w:r>
          </w:p>
        </w:tc>
        <w:tc>
          <w:tcPr>
            <w:tcW w:w="1148" w:type="dxa"/>
          </w:tcPr>
          <w:p w14:paraId="79F6CC09" w14:textId="77777777" w:rsidR="00CD296F" w:rsidRPr="00D87FC5" w:rsidRDefault="00CD296F" w:rsidP="00DE593C">
            <w:pPr>
              <w:keepNext/>
              <w:jc w:val="left"/>
              <w:rPr>
                <w:sz w:val="20"/>
              </w:rPr>
            </w:pPr>
            <w:r>
              <w:rPr>
                <w:sz w:val="20"/>
              </w:rPr>
              <w:t>LoC = 1</w:t>
            </w:r>
          </w:p>
        </w:tc>
        <w:tc>
          <w:tcPr>
            <w:tcW w:w="3993" w:type="dxa"/>
          </w:tcPr>
          <w:p w14:paraId="0BFE6DAF" w14:textId="77777777" w:rsidR="00CD296F" w:rsidRPr="00D87FC5" w:rsidRDefault="00CD296F" w:rsidP="00DE593C">
            <w:pPr>
              <w:keepNext/>
              <w:jc w:val="left"/>
              <w:rPr>
                <w:sz w:val="20"/>
              </w:rPr>
            </w:pPr>
            <w:r w:rsidRPr="00D87FC5">
              <w:rPr>
                <w:sz w:val="20"/>
              </w:rPr>
              <w:t>For parameters of time trend curves.</w:t>
            </w:r>
          </w:p>
          <w:p w14:paraId="3AC28228" w14:textId="77777777" w:rsidR="00CD296F" w:rsidRPr="00D87FC5" w:rsidRDefault="00DB5D9C" w:rsidP="00DE593C">
            <w:pPr>
              <w:keepNext/>
              <w:jc w:val="left"/>
              <w:rPr>
                <w:sz w:val="20"/>
              </w:rPr>
            </w:pPr>
            <w:r>
              <w:rPr>
                <w:sz w:val="20"/>
              </w:rPr>
              <w:t>Lo</w:t>
            </w:r>
            <w:r w:rsidR="00CD296F" w:rsidRPr="00D87FC5">
              <w:rPr>
                <w:sz w:val="20"/>
              </w:rPr>
              <w:t xml:space="preserve">C refers to a difference between the parameters, i.e., D = </w:t>
            </w:r>
            <w:proofErr w:type="spellStart"/>
            <w:r w:rsidR="00CD296F" w:rsidRPr="00D87FC5">
              <w:rPr>
                <w:sz w:val="20"/>
              </w:rPr>
              <w:t>ϑ</w:t>
            </w:r>
            <w:r w:rsidRPr="00C62BDA">
              <w:rPr>
                <w:i/>
                <w:vertAlign w:val="subscript"/>
              </w:rPr>
              <w:t>T</w:t>
            </w:r>
            <w:proofErr w:type="spellEnd"/>
            <w:r w:rsidR="00CD296F" w:rsidRPr="00D87FC5">
              <w:rPr>
                <w:sz w:val="20"/>
              </w:rPr>
              <w:t xml:space="preserve"> – </w:t>
            </w:r>
            <w:proofErr w:type="spellStart"/>
            <w:r w:rsidR="00CD296F" w:rsidRPr="00D87FC5">
              <w:rPr>
                <w:sz w:val="20"/>
              </w:rPr>
              <w:t>ϑ</w:t>
            </w:r>
            <w:r>
              <w:rPr>
                <w:i/>
                <w:vertAlign w:val="subscript"/>
              </w:rPr>
              <w:t>C</w:t>
            </w:r>
            <w:proofErr w:type="spellEnd"/>
            <w:r w:rsidR="00CD296F" w:rsidRPr="00D87FC5">
              <w:rPr>
                <w:sz w:val="20"/>
              </w:rPr>
              <w:t>.</w:t>
            </w:r>
          </w:p>
        </w:tc>
      </w:tr>
      <w:tr w:rsidR="00CD296F" w:rsidRPr="00D87FC5" w14:paraId="0F940F79" w14:textId="77777777" w:rsidTr="00DE593C">
        <w:trPr>
          <w:jc w:val="center"/>
        </w:trPr>
        <w:tc>
          <w:tcPr>
            <w:tcW w:w="1522" w:type="dxa"/>
          </w:tcPr>
          <w:p w14:paraId="73ECE3C3" w14:textId="77777777" w:rsidR="00CD296F" w:rsidRPr="00D87FC5" w:rsidRDefault="00CD296F" w:rsidP="00DE593C">
            <w:pPr>
              <w:jc w:val="left"/>
              <w:rPr>
                <w:sz w:val="20"/>
              </w:rPr>
            </w:pPr>
            <w:r w:rsidRPr="00D87FC5">
              <w:rPr>
                <w:sz w:val="20"/>
              </w:rPr>
              <w:t>Contin</w:t>
            </w:r>
            <w:r w:rsidR="00DB5D9C">
              <w:rPr>
                <w:sz w:val="20"/>
              </w:rPr>
              <w:t>u</w:t>
            </w:r>
            <w:r w:rsidRPr="00D87FC5">
              <w:rPr>
                <w:sz w:val="20"/>
              </w:rPr>
              <w:t>ous</w:t>
            </w:r>
          </w:p>
        </w:tc>
        <w:tc>
          <w:tcPr>
            <w:tcW w:w="1191" w:type="dxa"/>
          </w:tcPr>
          <w:p w14:paraId="61EAB74F" w14:textId="77777777" w:rsidR="00CD296F" w:rsidRPr="00D87FC5" w:rsidRDefault="00CD296F" w:rsidP="00DE593C">
            <w:pPr>
              <w:jc w:val="left"/>
              <w:rPr>
                <w:sz w:val="20"/>
              </w:rPr>
            </w:pPr>
            <w:r w:rsidRPr="00D87FC5">
              <w:rPr>
                <w:sz w:val="20"/>
              </w:rPr>
              <w:t>NA</w:t>
            </w:r>
          </w:p>
        </w:tc>
        <w:tc>
          <w:tcPr>
            <w:tcW w:w="1191" w:type="dxa"/>
          </w:tcPr>
          <w:p w14:paraId="04873B21" w14:textId="77777777" w:rsidR="00CD296F" w:rsidRPr="00D87FC5" w:rsidRDefault="00CD296F" w:rsidP="00DE593C">
            <w:pPr>
              <w:keepNext/>
              <w:jc w:val="left"/>
              <w:rPr>
                <w:sz w:val="20"/>
              </w:rPr>
            </w:pPr>
            <w:r w:rsidRPr="00D87FC5">
              <w:rPr>
                <w:sz w:val="20"/>
              </w:rPr>
              <w:t>NA</w:t>
            </w:r>
          </w:p>
        </w:tc>
        <w:tc>
          <w:tcPr>
            <w:tcW w:w="1148" w:type="dxa"/>
          </w:tcPr>
          <w:p w14:paraId="52F403E7" w14:textId="77777777" w:rsidR="00CD296F" w:rsidRPr="00D87FC5" w:rsidRDefault="00CD296F" w:rsidP="00DE593C">
            <w:pPr>
              <w:keepNext/>
              <w:jc w:val="left"/>
              <w:rPr>
                <w:sz w:val="20"/>
              </w:rPr>
            </w:pPr>
            <w:r w:rsidRPr="00D87FC5">
              <w:rPr>
                <w:sz w:val="20"/>
              </w:rPr>
              <w:t>LoC = 0</w:t>
            </w:r>
          </w:p>
        </w:tc>
        <w:tc>
          <w:tcPr>
            <w:tcW w:w="3993" w:type="dxa"/>
          </w:tcPr>
          <w:p w14:paraId="7646A77B" w14:textId="77777777" w:rsidR="00CD296F" w:rsidRPr="00D87FC5" w:rsidRDefault="00CD296F" w:rsidP="00DE593C">
            <w:pPr>
              <w:keepNext/>
              <w:jc w:val="left"/>
              <w:rPr>
                <w:sz w:val="20"/>
              </w:rPr>
            </w:pPr>
          </w:p>
        </w:tc>
      </w:tr>
    </w:tbl>
    <w:p w14:paraId="3E225D1D" w14:textId="77777777" w:rsidR="00C86DCE" w:rsidRDefault="00C86DCE" w:rsidP="00C86DCE">
      <w:pPr>
        <w:pStyle w:val="Heading2"/>
      </w:pPr>
      <w:r>
        <w:lastRenderedPageBreak/>
        <w:t>Endpoints data</w:t>
      </w:r>
    </w:p>
    <w:p w14:paraId="475AF84D" w14:textId="77777777" w:rsidR="00655325" w:rsidRDefault="001A6438" w:rsidP="00C86DCE">
      <w:r>
        <w:t xml:space="preserve">The software requires a specification (i.e., a prior estimate) of the data model/distribution of the comparator. This can be specified in the </w:t>
      </w:r>
      <w:r w:rsidRPr="0061083A">
        <w:rPr>
          <w:i/>
        </w:rPr>
        <w:t>endpoints data</w:t>
      </w:r>
      <w:r>
        <w:t xml:space="preserve"> tab.</w:t>
      </w:r>
      <w:r w:rsidR="00655325">
        <w:t xml:space="preserve"> The data models/distributions of the endpoints can be edited in the table and t</w:t>
      </w:r>
      <w:r w:rsidR="00655325" w:rsidRPr="00655325">
        <w:t>he graph shows the distribution of the selected endpoint</w:t>
      </w:r>
      <w:r w:rsidR="00655325">
        <w:t xml:space="preserve"> (</w:t>
      </w:r>
      <w:r w:rsidR="00655325" w:rsidRPr="00655325">
        <w:t xml:space="preserve">the red lines </w:t>
      </w:r>
      <w:r w:rsidR="00655325">
        <w:t>indicate the mean and the LoCs)</w:t>
      </w:r>
      <w:r w:rsidR="00655325" w:rsidRPr="00655325">
        <w:t>. Excess zeroes are not shown.</w:t>
      </w:r>
    </w:p>
    <w:p w14:paraId="07F488DA" w14:textId="77777777" w:rsidR="00655325" w:rsidRDefault="00655325" w:rsidP="00655325">
      <w:pPr>
        <w:spacing w:before="240"/>
      </w:pPr>
      <w:r>
        <w:rPr>
          <w:noProof/>
          <w:lang w:eastAsia="en-GB"/>
        </w:rPr>
        <w:drawing>
          <wp:inline distT="0" distB="0" distL="0" distR="0" wp14:anchorId="1A501ECF" wp14:editId="0EBAAEF0">
            <wp:extent cx="5760720" cy="392214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922140"/>
                    </a:xfrm>
                    <a:prstGeom prst="rect">
                      <a:avLst/>
                    </a:prstGeom>
                  </pic:spPr>
                </pic:pic>
              </a:graphicData>
            </a:graphic>
          </wp:inline>
        </w:drawing>
      </w:r>
    </w:p>
    <w:p w14:paraId="4B32D5BB" w14:textId="77777777" w:rsidR="00F87246" w:rsidRDefault="000716E2" w:rsidP="00655325">
      <w:pPr>
        <w:spacing w:before="240"/>
      </w:pPr>
      <w:r>
        <w:t>In the software, the specification of the data model is by means of a distribution type, a mean, a CV, and in case of the power model, an additional distribution specific parameter</w:t>
      </w:r>
      <w:r w:rsidR="00DE2707">
        <w:t xml:space="preserve"> </w:t>
      </w:r>
      <w:r w:rsidR="00DE2707" w:rsidRPr="00DE2707">
        <w:rPr>
          <w:i/>
        </w:rPr>
        <w:t>p</w:t>
      </w:r>
      <w:r>
        <w:t xml:space="preserve">. </w:t>
      </w:r>
      <w:r w:rsidR="00545273">
        <w:t xml:space="preserve">Additionally, </w:t>
      </w:r>
      <w:r w:rsidR="00545273" w:rsidRPr="00545273">
        <w:t xml:space="preserve">if more zeroes are expected than corresponds to the chosen distribution, </w:t>
      </w:r>
      <w:r w:rsidR="00545273">
        <w:t>the percentage of excess zeroes can be specified using the excess zeroes option</w:t>
      </w:r>
      <w:r w:rsidR="00545273" w:rsidRPr="00545273">
        <w:t>.</w:t>
      </w:r>
      <w:r w:rsidR="00545273">
        <w:t xml:space="preserve"> </w:t>
      </w:r>
      <w:r>
        <w:t>Note that for d</w:t>
      </w:r>
      <w:r w:rsidR="001A6438">
        <w:t>ifferent measurement types</w:t>
      </w:r>
      <w:r>
        <w:t>,</w:t>
      </w:r>
      <w:r w:rsidR="001A6438">
        <w:t xml:space="preserve"> different distribution types</w:t>
      </w:r>
      <w:r>
        <w:t xml:space="preserve"> are </w:t>
      </w:r>
      <w:r w:rsidR="00035A83">
        <w:t>appropriate</w:t>
      </w:r>
      <w:r w:rsidR="001A6438">
        <w:t xml:space="preserve">. </w:t>
      </w:r>
      <w:r w:rsidR="00F87246">
        <w:t>The table below shows the distribution models that are available per measurement type.</w:t>
      </w:r>
      <w:r>
        <w:t xml:space="preserve"> </w:t>
      </w:r>
    </w:p>
    <w:p w14:paraId="783E4C29" w14:textId="77777777" w:rsidR="001A6438" w:rsidRDefault="001A6438" w:rsidP="001A6438">
      <w:pPr>
        <w:spacing w:after="0"/>
      </w:pPr>
    </w:p>
    <w:tbl>
      <w:tblPr>
        <w:tblStyle w:val="TableGrid"/>
        <w:tblW w:w="9030" w:type="dxa"/>
        <w:jc w:val="center"/>
        <w:tblLook w:val="04A0" w:firstRow="1" w:lastRow="0" w:firstColumn="1" w:lastColumn="0" w:noHBand="0" w:noVBand="1"/>
      </w:tblPr>
      <w:tblGrid>
        <w:gridCol w:w="2106"/>
        <w:gridCol w:w="2268"/>
        <w:gridCol w:w="1559"/>
        <w:gridCol w:w="1417"/>
        <w:gridCol w:w="1680"/>
      </w:tblGrid>
      <w:tr w:rsidR="00F87246" w:rsidRPr="00D87FC5" w14:paraId="0EFCE1AC" w14:textId="77777777" w:rsidTr="000716E2">
        <w:trPr>
          <w:jc w:val="center"/>
        </w:trPr>
        <w:tc>
          <w:tcPr>
            <w:tcW w:w="2106" w:type="dxa"/>
          </w:tcPr>
          <w:p w14:paraId="08FCA9F3"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Measurement type</w:t>
            </w:r>
          </w:p>
        </w:tc>
        <w:tc>
          <w:tcPr>
            <w:tcW w:w="2268" w:type="dxa"/>
          </w:tcPr>
          <w:p w14:paraId="601075DD"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559" w:type="dxa"/>
          </w:tcPr>
          <w:p w14:paraId="72868E07"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Distribution parameters</w:t>
            </w:r>
          </w:p>
        </w:tc>
        <w:tc>
          <w:tcPr>
            <w:tcW w:w="1417" w:type="dxa"/>
          </w:tcPr>
          <w:p w14:paraId="2F038E37"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Restrictions</w:t>
            </w:r>
          </w:p>
        </w:tc>
        <w:tc>
          <w:tcPr>
            <w:tcW w:w="1680" w:type="dxa"/>
          </w:tcPr>
          <w:p w14:paraId="3673AE92"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Recommended</w:t>
            </w:r>
          </w:p>
        </w:tc>
      </w:tr>
      <w:tr w:rsidR="00F87246" w:rsidRPr="00D87FC5" w14:paraId="0120772A" w14:textId="77777777" w:rsidTr="000716E2">
        <w:trPr>
          <w:trHeight w:val="270"/>
          <w:jc w:val="center"/>
        </w:trPr>
        <w:tc>
          <w:tcPr>
            <w:tcW w:w="2106" w:type="dxa"/>
            <w:vMerge w:val="restart"/>
          </w:tcPr>
          <w:p w14:paraId="166A33AB"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Counts</w:t>
            </w:r>
          </w:p>
        </w:tc>
        <w:tc>
          <w:tcPr>
            <w:tcW w:w="2268" w:type="dxa"/>
          </w:tcPr>
          <w:p w14:paraId="034CD2BC"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w:t>
            </w:r>
          </w:p>
        </w:tc>
        <w:tc>
          <w:tcPr>
            <w:tcW w:w="1559" w:type="dxa"/>
          </w:tcPr>
          <w:p w14:paraId="353D1ED6"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tc>
        <w:tc>
          <w:tcPr>
            <w:tcW w:w="1417" w:type="dxa"/>
          </w:tcPr>
          <w:p w14:paraId="04D4B57D"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tc>
        <w:tc>
          <w:tcPr>
            <w:tcW w:w="1680" w:type="dxa"/>
          </w:tcPr>
          <w:p w14:paraId="6F433A4C" w14:textId="77777777" w:rsidR="00F87246" w:rsidRPr="00D87FC5" w:rsidRDefault="00F87246" w:rsidP="00F87246">
            <w:pPr>
              <w:rPr>
                <w:rFonts w:asciiTheme="minorHAnsi" w:hAnsiTheme="minorHAnsi" w:cs="Times New Roman"/>
                <w:sz w:val="20"/>
                <w:szCs w:val="20"/>
              </w:rPr>
            </w:pPr>
          </w:p>
        </w:tc>
      </w:tr>
      <w:tr w:rsidR="00F87246" w:rsidRPr="00D87FC5" w14:paraId="72E22E34" w14:textId="77777777" w:rsidTr="000716E2">
        <w:trPr>
          <w:trHeight w:val="270"/>
          <w:jc w:val="center"/>
        </w:trPr>
        <w:tc>
          <w:tcPr>
            <w:tcW w:w="2106" w:type="dxa"/>
            <w:vMerge/>
          </w:tcPr>
          <w:p w14:paraId="55883BFB" w14:textId="77777777" w:rsidR="00F87246" w:rsidRPr="00D87FC5" w:rsidRDefault="00F87246" w:rsidP="00F87246">
            <w:pPr>
              <w:rPr>
                <w:rFonts w:asciiTheme="minorHAnsi" w:hAnsiTheme="minorHAnsi" w:cs="Times New Roman"/>
                <w:sz w:val="20"/>
                <w:szCs w:val="20"/>
              </w:rPr>
            </w:pPr>
          </w:p>
        </w:tc>
        <w:tc>
          <w:tcPr>
            <w:tcW w:w="2268" w:type="dxa"/>
          </w:tcPr>
          <w:p w14:paraId="6671EF17" w14:textId="77777777" w:rsidR="00F87246" w:rsidRPr="00D87FC5" w:rsidRDefault="00F87246" w:rsidP="00F87246">
            <w:pPr>
              <w:rPr>
                <w:rFonts w:asciiTheme="minorHAnsi" w:hAnsiTheme="minorHAnsi" w:cs="Times New Roman"/>
                <w:sz w:val="20"/>
                <w:szCs w:val="20"/>
              </w:rPr>
            </w:pPr>
            <w:proofErr w:type="spellStart"/>
            <w:r w:rsidRPr="00D87FC5">
              <w:rPr>
                <w:rFonts w:asciiTheme="minorHAnsi" w:hAnsiTheme="minorHAnsi" w:cs="Times New Roman"/>
                <w:sz w:val="20"/>
                <w:szCs w:val="20"/>
              </w:rPr>
              <w:t>Overdispersed</w:t>
            </w:r>
            <w:proofErr w:type="spellEnd"/>
            <w:r w:rsidRPr="00D87FC5">
              <w:rPr>
                <w:rFonts w:asciiTheme="minorHAnsi" w:hAnsiTheme="minorHAnsi" w:cs="Times New Roman"/>
                <w:sz w:val="20"/>
                <w:szCs w:val="20"/>
              </w:rPr>
              <w:t xml:space="preserve"> Poisson</w:t>
            </w:r>
          </w:p>
        </w:tc>
        <w:tc>
          <w:tcPr>
            <w:tcW w:w="1559" w:type="dxa"/>
          </w:tcPr>
          <w:p w14:paraId="3BEE21AB"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p w14:paraId="398E6E92"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Times New Roman"/>
                <w:sz w:val="20"/>
                <w:szCs w:val="20"/>
              </w:rPr>
              <w:tab/>
              <w:t>· µ</w:t>
            </w:r>
          </w:p>
        </w:tc>
        <w:tc>
          <w:tcPr>
            <w:tcW w:w="1417" w:type="dxa"/>
          </w:tcPr>
          <w:p w14:paraId="28349B86"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053F3E46"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14:paraId="6644A7B1"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14:paraId="7A984D97" w14:textId="77777777" w:rsidTr="000716E2">
        <w:trPr>
          <w:trHeight w:val="270"/>
          <w:jc w:val="center"/>
        </w:trPr>
        <w:tc>
          <w:tcPr>
            <w:tcW w:w="2106" w:type="dxa"/>
            <w:vMerge/>
          </w:tcPr>
          <w:p w14:paraId="6A137939" w14:textId="77777777" w:rsidR="00F87246" w:rsidRPr="00D87FC5" w:rsidRDefault="00F87246" w:rsidP="00F87246">
            <w:pPr>
              <w:rPr>
                <w:rFonts w:asciiTheme="minorHAnsi" w:hAnsiTheme="minorHAnsi" w:cs="Times New Roman"/>
                <w:sz w:val="20"/>
                <w:szCs w:val="20"/>
              </w:rPr>
            </w:pPr>
          </w:p>
        </w:tc>
        <w:tc>
          <w:tcPr>
            <w:tcW w:w="2268" w:type="dxa"/>
          </w:tcPr>
          <w:p w14:paraId="081E752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Negative Binomial</w:t>
            </w:r>
          </w:p>
        </w:tc>
        <w:tc>
          <w:tcPr>
            <w:tcW w:w="1559" w:type="dxa"/>
          </w:tcPr>
          <w:p w14:paraId="137FF1F1"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Consolas"/>
                <w:color w:val="000000"/>
                <w:sz w:val="20"/>
                <w:szCs w:val="20"/>
              </w:rPr>
              <w:t xml:space="preserve"> – 1/</w:t>
            </w:r>
            <w:r w:rsidRPr="00D87FC5">
              <w:rPr>
                <w:rFonts w:asciiTheme="minorHAnsi" w:hAnsiTheme="minorHAnsi" w:cs="Times New Roman"/>
                <w:sz w:val="20"/>
                <w:szCs w:val="20"/>
              </w:rPr>
              <w:t>µ</w:t>
            </w:r>
          </w:p>
          <w:p w14:paraId="2E716F9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shape = 1 / ω</w:t>
            </w:r>
          </w:p>
          <w:p w14:paraId="50D1A5F4"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scale = ω · µ</w:t>
            </w:r>
          </w:p>
        </w:tc>
        <w:tc>
          <w:tcPr>
            <w:tcW w:w="1417" w:type="dxa"/>
          </w:tcPr>
          <w:p w14:paraId="15D855CA"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275FD93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14:paraId="231BBFC2" w14:textId="77777777" w:rsidR="00F87246" w:rsidRPr="00D87FC5" w:rsidRDefault="00F87246" w:rsidP="00F87246">
            <w:pPr>
              <w:rPr>
                <w:rFonts w:asciiTheme="minorHAnsi" w:hAnsiTheme="minorHAnsi" w:cs="Times New Roman"/>
                <w:sz w:val="20"/>
                <w:szCs w:val="20"/>
              </w:rPr>
            </w:pPr>
          </w:p>
        </w:tc>
      </w:tr>
      <w:tr w:rsidR="00F87246" w:rsidRPr="00D87FC5" w14:paraId="37A6192C" w14:textId="77777777" w:rsidTr="000716E2">
        <w:trPr>
          <w:trHeight w:val="270"/>
          <w:jc w:val="center"/>
        </w:trPr>
        <w:tc>
          <w:tcPr>
            <w:tcW w:w="2106" w:type="dxa"/>
            <w:vMerge/>
          </w:tcPr>
          <w:p w14:paraId="3FE58B13" w14:textId="77777777" w:rsidR="00F87246" w:rsidRPr="00D87FC5" w:rsidRDefault="00F87246" w:rsidP="00F87246">
            <w:pPr>
              <w:rPr>
                <w:rFonts w:asciiTheme="minorHAnsi" w:hAnsiTheme="minorHAnsi" w:cs="Times New Roman"/>
                <w:sz w:val="20"/>
                <w:szCs w:val="20"/>
              </w:rPr>
            </w:pPr>
          </w:p>
        </w:tc>
        <w:tc>
          <w:tcPr>
            <w:tcW w:w="2268" w:type="dxa"/>
          </w:tcPr>
          <w:p w14:paraId="64151D0F"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Poisson-Lognormal</w:t>
            </w:r>
          </w:p>
        </w:tc>
        <w:tc>
          <w:tcPr>
            <w:tcW w:w="1559" w:type="dxa"/>
          </w:tcPr>
          <w:p w14:paraId="1908BB64"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14:paraId="7F09B73A" w14:textId="77777777"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1/</w:t>
            </w:r>
            <w:r w:rsidRPr="00D87FC5">
              <w:rPr>
                <w:rFonts w:asciiTheme="minorHAnsi" w:eastAsia="Times New Roman" w:hAnsiTheme="minorHAnsi" w:cs="Courier New"/>
                <w:sz w:val="20"/>
                <w:szCs w:val="20"/>
                <w:lang w:eastAsia="en-GB"/>
              </w:rPr>
              <w:t>µ</w:t>
            </w:r>
          </w:p>
        </w:tc>
        <w:tc>
          <w:tcPr>
            <w:tcW w:w="1417" w:type="dxa"/>
          </w:tcPr>
          <w:p w14:paraId="32C72C59"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1DFD2AF9"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14:paraId="146667BA" w14:textId="77777777" w:rsidR="00F87246" w:rsidRPr="00D87FC5" w:rsidRDefault="00F87246" w:rsidP="00F87246">
            <w:pPr>
              <w:rPr>
                <w:rFonts w:asciiTheme="minorHAnsi" w:hAnsiTheme="minorHAnsi" w:cs="Times New Roman"/>
                <w:sz w:val="20"/>
                <w:szCs w:val="20"/>
              </w:rPr>
            </w:pPr>
          </w:p>
        </w:tc>
      </w:tr>
      <w:tr w:rsidR="00F87246" w:rsidRPr="00D87FC5" w14:paraId="7DB8DFB0" w14:textId="77777777" w:rsidTr="000716E2">
        <w:trPr>
          <w:trHeight w:val="270"/>
          <w:jc w:val="center"/>
        </w:trPr>
        <w:tc>
          <w:tcPr>
            <w:tcW w:w="2106" w:type="dxa"/>
            <w:vMerge/>
          </w:tcPr>
          <w:p w14:paraId="7A207536" w14:textId="77777777" w:rsidR="00F87246" w:rsidRPr="00D87FC5" w:rsidRDefault="00F87246" w:rsidP="00F87246">
            <w:pPr>
              <w:rPr>
                <w:rFonts w:asciiTheme="minorHAnsi" w:hAnsiTheme="minorHAnsi" w:cs="Times New Roman"/>
                <w:sz w:val="20"/>
                <w:szCs w:val="20"/>
              </w:rPr>
            </w:pPr>
          </w:p>
        </w:tc>
        <w:tc>
          <w:tcPr>
            <w:tcW w:w="2268" w:type="dxa"/>
          </w:tcPr>
          <w:p w14:paraId="4A3D9CB7"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Power model</w:t>
            </w:r>
          </w:p>
        </w:tc>
        <w:tc>
          <w:tcPr>
            <w:tcW w:w="1559" w:type="dxa"/>
          </w:tcPr>
          <w:p w14:paraId="38B1FB5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14:paraId="1F02F5F2" w14:textId="77777777"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w:t>
            </w:r>
            <w:r w:rsidRPr="00D87FC5">
              <w:rPr>
                <w:rFonts w:asciiTheme="minorHAnsi" w:eastAsia="Times New Roman" w:hAnsiTheme="minorHAnsi" w:cs="Courier New"/>
                <w:sz w:val="20"/>
                <w:szCs w:val="20"/>
                <w:lang w:eastAsia="en-GB"/>
              </w:rPr>
              <w:t>µ</w:t>
            </w:r>
            <w:r w:rsidRPr="00D87FC5">
              <w:rPr>
                <w:rFonts w:asciiTheme="minorHAnsi" w:eastAsia="Times New Roman" w:hAnsiTheme="minorHAnsi" w:cs="Courier New"/>
                <w:sz w:val="20"/>
                <w:szCs w:val="20"/>
                <w:vertAlign w:val="superscript"/>
                <w:lang w:eastAsia="en-GB"/>
              </w:rPr>
              <w:t>2-p</w:t>
            </w:r>
          </w:p>
        </w:tc>
        <w:tc>
          <w:tcPr>
            <w:tcW w:w="1417" w:type="dxa"/>
          </w:tcPr>
          <w:p w14:paraId="4FA1FC23"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14529F89"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 √µ</w:t>
            </w:r>
          </w:p>
        </w:tc>
        <w:tc>
          <w:tcPr>
            <w:tcW w:w="1680" w:type="dxa"/>
          </w:tcPr>
          <w:p w14:paraId="40BF15EC" w14:textId="77777777" w:rsidR="00F87246" w:rsidRPr="00D87FC5" w:rsidRDefault="00F87246" w:rsidP="00F87246">
            <w:pPr>
              <w:rPr>
                <w:rFonts w:asciiTheme="minorHAnsi" w:hAnsiTheme="minorHAnsi" w:cs="Times New Roman"/>
                <w:sz w:val="20"/>
                <w:szCs w:val="20"/>
              </w:rPr>
            </w:pPr>
          </w:p>
        </w:tc>
      </w:tr>
      <w:tr w:rsidR="00F87246" w:rsidRPr="00D87FC5" w14:paraId="13B007D3" w14:textId="77777777" w:rsidTr="000716E2">
        <w:trPr>
          <w:jc w:val="center"/>
        </w:trPr>
        <w:tc>
          <w:tcPr>
            <w:tcW w:w="2106" w:type="dxa"/>
          </w:tcPr>
          <w:p w14:paraId="386A64CA"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2268" w:type="dxa"/>
          </w:tcPr>
          <w:p w14:paraId="64A96AFA"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559" w:type="dxa"/>
          </w:tcPr>
          <w:p w14:paraId="5279F19B"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14:paraId="2B3699A8"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σ =|µ · cv|</w:t>
            </w:r>
          </w:p>
        </w:tc>
        <w:tc>
          <w:tcPr>
            <w:tcW w:w="1417" w:type="dxa"/>
          </w:tcPr>
          <w:p w14:paraId="68B18D68"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7E8AC4A4" w14:textId="77777777" w:rsidR="00F87246" w:rsidRPr="00D87FC5" w:rsidRDefault="00F87246" w:rsidP="00F87246">
            <w:pPr>
              <w:keepNext/>
              <w:rPr>
                <w:rFonts w:asciiTheme="minorHAnsi" w:hAnsiTheme="minorHAnsi" w:cs="Times New Roman"/>
                <w:sz w:val="20"/>
                <w:szCs w:val="20"/>
              </w:rPr>
            </w:pPr>
          </w:p>
        </w:tc>
        <w:tc>
          <w:tcPr>
            <w:tcW w:w="1680" w:type="dxa"/>
          </w:tcPr>
          <w:p w14:paraId="2CA6BD11"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14:paraId="4C22CC31" w14:textId="77777777" w:rsidTr="000716E2">
        <w:trPr>
          <w:jc w:val="center"/>
        </w:trPr>
        <w:tc>
          <w:tcPr>
            <w:tcW w:w="2106" w:type="dxa"/>
          </w:tcPr>
          <w:p w14:paraId="6328EA8A" w14:textId="77777777" w:rsidR="00F87246" w:rsidRPr="00D87FC5" w:rsidRDefault="00A41762" w:rsidP="00F87246">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2268" w:type="dxa"/>
          </w:tcPr>
          <w:p w14:paraId="33BA9583"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Normal</w:t>
            </w:r>
          </w:p>
        </w:tc>
        <w:tc>
          <w:tcPr>
            <w:tcW w:w="1559" w:type="dxa"/>
          </w:tcPr>
          <w:p w14:paraId="18069337"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14:paraId="4F4A698A"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lastRenderedPageBreak/>
              <w:t>σ = |µ · cv|</w:t>
            </w:r>
          </w:p>
        </w:tc>
        <w:tc>
          <w:tcPr>
            <w:tcW w:w="1417" w:type="dxa"/>
          </w:tcPr>
          <w:p w14:paraId="74BFB4B0" w14:textId="77777777" w:rsidR="00F87246" w:rsidRPr="00D87FC5" w:rsidRDefault="00F87246" w:rsidP="00F87246">
            <w:pPr>
              <w:keepNext/>
              <w:rPr>
                <w:rFonts w:asciiTheme="minorHAnsi" w:hAnsiTheme="minorHAnsi" w:cs="Times New Roman"/>
                <w:sz w:val="20"/>
                <w:szCs w:val="20"/>
              </w:rPr>
            </w:pPr>
          </w:p>
        </w:tc>
        <w:tc>
          <w:tcPr>
            <w:tcW w:w="1680" w:type="dxa"/>
          </w:tcPr>
          <w:p w14:paraId="7983B0CE"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bl>
    <w:p w14:paraId="6E00494B" w14:textId="77777777" w:rsidR="00C86DCE" w:rsidRDefault="00C86DCE" w:rsidP="00C86DCE">
      <w:pPr>
        <w:pStyle w:val="Heading2"/>
      </w:pPr>
      <w:r>
        <w:t>Factors</w:t>
      </w:r>
    </w:p>
    <w:p w14:paraId="1C08A5C1" w14:textId="77777777" w:rsidR="00172CE6" w:rsidRDefault="00A201D4" w:rsidP="00172CE6">
      <w:r>
        <w:t xml:space="preserve">In the </w:t>
      </w:r>
      <w:r w:rsidRPr="0061083A">
        <w:rPr>
          <w:i/>
        </w:rPr>
        <w:t>factors</w:t>
      </w:r>
      <w:r>
        <w:t xml:space="preserve"> tab, additional varieties and factors of the design can be specified. </w:t>
      </w:r>
      <w:r w:rsidR="00172CE6">
        <w:t>The main factor in variety-comparative evaluation experiments is always variety, with at least the levels test</w:t>
      </w:r>
      <w:r w:rsidR="00DE2707">
        <w:t xml:space="preserve"> </w:t>
      </w:r>
      <w:r w:rsidR="00172CE6">
        <w:t xml:space="preserve">variety and comparator. </w:t>
      </w:r>
      <w:r>
        <w:t xml:space="preserve">However, it may be that the </w:t>
      </w:r>
      <w:r w:rsidR="00172CE6">
        <w:t>design contains more varieties</w:t>
      </w:r>
      <w:r>
        <w:t>. T</w:t>
      </w:r>
      <w:r w:rsidR="00172CE6">
        <w:t>hese can be expressed as additional variety levels.</w:t>
      </w:r>
      <w:r>
        <w:t xml:space="preserve"> Also, it may be that the design contains more factors (e.g. spraying treatments). These can be specified by adding additional rows in the </w:t>
      </w:r>
      <w:r w:rsidR="00986B06">
        <w:t>f</w:t>
      </w:r>
      <w:r>
        <w:t>actor</w:t>
      </w:r>
      <w:r w:rsidR="00986B06">
        <w:t>s</w:t>
      </w:r>
      <w:r>
        <w:t xml:space="preserve"> table and specifying the levels and relative frequencies in the levels table.</w:t>
      </w:r>
    </w:p>
    <w:p w14:paraId="12CB98FC" w14:textId="77777777" w:rsidR="007C4BD9" w:rsidRDefault="00B01EFB" w:rsidP="007C4BD9">
      <w:pPr>
        <w:spacing w:before="240"/>
      </w:pPr>
      <w:r>
        <w:rPr>
          <w:noProof/>
          <w:lang w:eastAsia="en-GB"/>
        </w:rPr>
        <w:drawing>
          <wp:inline distT="0" distB="0" distL="0" distR="0" wp14:anchorId="2AD5E875" wp14:editId="6B439DFA">
            <wp:extent cx="5760720" cy="3263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63755"/>
                    </a:xfrm>
                    <a:prstGeom prst="rect">
                      <a:avLst/>
                    </a:prstGeom>
                  </pic:spPr>
                </pic:pic>
              </a:graphicData>
            </a:graphic>
          </wp:inline>
        </w:drawing>
      </w:r>
    </w:p>
    <w:p w14:paraId="27B8B40B" w14:textId="77777777" w:rsidR="00172CE6" w:rsidRDefault="00986B06" w:rsidP="00986B06">
      <w:pPr>
        <w:spacing w:before="240"/>
      </w:pPr>
      <w:r>
        <w:t>Note that u</w:t>
      </w:r>
      <w:r w:rsidR="00172CE6">
        <w:t>nequ</w:t>
      </w:r>
      <w:r>
        <w:t>al numbers of plots per variety</w:t>
      </w:r>
      <w:r w:rsidR="00172CE6">
        <w:t xml:space="preserve"> or for specific other factor level</w:t>
      </w:r>
      <w:r>
        <w:t>s</w:t>
      </w:r>
      <w:r w:rsidR="00172CE6">
        <w:t xml:space="preserve"> can be </w:t>
      </w:r>
      <w:r w:rsidR="00EE78E1">
        <w:t>specified</w:t>
      </w:r>
      <w:r w:rsidR="00172CE6">
        <w:t xml:space="preserve"> by using (relative) frequencies. If numbers of plots per variety are not equal, change the (relative) frequencies.</w:t>
      </w:r>
    </w:p>
    <w:p w14:paraId="73DFE22F" w14:textId="77777777" w:rsidR="00C86DCE" w:rsidRDefault="00C86DCE" w:rsidP="00C86DCE">
      <w:pPr>
        <w:pStyle w:val="Heading2"/>
      </w:pPr>
      <w:r>
        <w:t>Design</w:t>
      </w:r>
    </w:p>
    <w:p w14:paraId="6EF51D42" w14:textId="77777777" w:rsidR="00FF3E00" w:rsidRDefault="00FF3E00" w:rsidP="00C86DCE">
      <w:r>
        <w:t xml:space="preserve">The </w:t>
      </w:r>
      <w:r w:rsidRPr="0061083A">
        <w:rPr>
          <w:i/>
        </w:rPr>
        <w:t>design</w:t>
      </w:r>
      <w:r>
        <w:t xml:space="preserve"> tab allows you to specify the type of experimental design. At present, t</w:t>
      </w:r>
      <w:r w:rsidR="00EB05E4">
        <w:t>wo design types are su</w:t>
      </w:r>
      <w:r>
        <w:t>pported:  completely randomized</w:t>
      </w:r>
      <w:r w:rsidR="00EB05E4">
        <w:t xml:space="preserve"> and randomized complete blocks.</w:t>
      </w:r>
    </w:p>
    <w:p w14:paraId="4C70544D" w14:textId="77777777" w:rsidR="007F03CC" w:rsidRDefault="00B01EFB" w:rsidP="006D6341">
      <w:pPr>
        <w:spacing w:before="240"/>
      </w:pPr>
      <w:r>
        <w:rPr>
          <w:noProof/>
          <w:lang w:eastAsia="en-GB"/>
        </w:rPr>
        <w:drawing>
          <wp:inline distT="0" distB="0" distL="0" distR="0" wp14:anchorId="1C1078FB" wp14:editId="3EFE0415">
            <wp:extent cx="5761498" cy="188196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42345"/>
                    <a:stretch/>
                  </pic:blipFill>
                  <pic:spPr bwMode="auto">
                    <a:xfrm>
                      <a:off x="0" y="0"/>
                      <a:ext cx="5760720" cy="1881709"/>
                    </a:xfrm>
                    <a:prstGeom prst="rect">
                      <a:avLst/>
                    </a:prstGeom>
                    <a:ln>
                      <a:noFill/>
                    </a:ln>
                    <a:extLst>
                      <a:ext uri="{53640926-AAD7-44D8-BBD7-CCE9431645EC}">
                        <a14:shadowObscured xmlns:a14="http://schemas.microsoft.com/office/drawing/2010/main"/>
                      </a:ext>
                    </a:extLst>
                  </pic:spPr>
                </pic:pic>
              </a:graphicData>
            </a:graphic>
          </wp:inline>
        </w:drawing>
      </w:r>
    </w:p>
    <w:p w14:paraId="0C5EFA66" w14:textId="77777777" w:rsidR="003060EE" w:rsidRDefault="003060EE" w:rsidP="003060EE">
      <w:pPr>
        <w:pStyle w:val="Heading2"/>
      </w:pPr>
      <w:r>
        <w:lastRenderedPageBreak/>
        <w:t>Define comparisons</w:t>
      </w:r>
    </w:p>
    <w:p w14:paraId="32B8C82A" w14:textId="77777777" w:rsidR="00B2309C" w:rsidRDefault="00C86DCE" w:rsidP="00C86DCE">
      <w:r w:rsidRPr="00C86DCE">
        <w:t xml:space="preserve">When other factors have been specified, the </w:t>
      </w:r>
      <w:r w:rsidR="003060EE">
        <w:t xml:space="preserve">comparisons between </w:t>
      </w:r>
      <w:r w:rsidR="00FF3E00">
        <w:t>t</w:t>
      </w:r>
      <w:r w:rsidR="003060EE">
        <w:t>est</w:t>
      </w:r>
      <w:r w:rsidR="00EF3980">
        <w:t xml:space="preserve"> </w:t>
      </w:r>
      <w:r w:rsidR="00FF3E00">
        <w:t>v</w:t>
      </w:r>
      <w:r w:rsidR="003060EE">
        <w:t xml:space="preserve">ariety and the </w:t>
      </w:r>
      <w:r w:rsidR="00FF3E00">
        <w:t>c</w:t>
      </w:r>
      <w:r w:rsidR="003060EE">
        <w:t>omparator</w:t>
      </w:r>
      <w:r w:rsidRPr="00C86DCE">
        <w:t xml:space="preserve"> can be expected to be </w:t>
      </w:r>
      <w:r w:rsidR="00EF3980">
        <w:t xml:space="preserve">either the </w:t>
      </w:r>
      <w:r w:rsidRPr="00C86DCE">
        <w:t>same for all levels of such a factor (no interacti</w:t>
      </w:r>
      <w:r w:rsidR="00B2309C">
        <w:t>on) or different (interaction).</w:t>
      </w:r>
      <w:r w:rsidR="003646AE">
        <w:t xml:space="preserve"> </w:t>
      </w:r>
      <w:r w:rsidR="00EF3980" w:rsidRPr="00EF3980">
        <w:t xml:space="preserve">If there are interactions it is necessary to specify which levels of other factors should be looked at when defining the </w:t>
      </w:r>
      <w:r w:rsidR="00EF3980">
        <w:t>t</w:t>
      </w:r>
      <w:r w:rsidR="00EF3980" w:rsidRPr="00EF3980">
        <w:t>est v</w:t>
      </w:r>
      <w:r w:rsidR="00EF3980">
        <w:t>ersus</w:t>
      </w:r>
      <w:r w:rsidR="00EF3980" w:rsidRPr="00EF3980">
        <w:t xml:space="preserve"> </w:t>
      </w:r>
      <w:r w:rsidR="00EF3980">
        <w:t>c</w:t>
      </w:r>
      <w:r w:rsidR="00EF3980" w:rsidRPr="00EF3980">
        <w:t xml:space="preserve">omparator comparison. </w:t>
      </w:r>
      <w:r w:rsidR="0061083A">
        <w:t xml:space="preserve">The </w:t>
      </w:r>
      <w:r w:rsidR="0061083A" w:rsidRPr="0061083A">
        <w:rPr>
          <w:i/>
        </w:rPr>
        <w:t>define comparison</w:t>
      </w:r>
      <w:r w:rsidR="0061083A">
        <w:t xml:space="preserve"> tab allows you to specify such interactions. </w:t>
      </w:r>
      <w:r w:rsidR="00B2309C">
        <w:t>I</w:t>
      </w:r>
      <w:r w:rsidR="00B2309C" w:rsidRPr="00C86DCE">
        <w:t>f such interactions are expected</w:t>
      </w:r>
      <w:r w:rsidR="00FB5277">
        <w:t>, then check the checkbox “</w:t>
      </w:r>
      <w:r w:rsidR="00FB5277" w:rsidRPr="00BD7C38">
        <w:rPr>
          <w:i/>
        </w:rPr>
        <w:t>Exclude data from the Test vs. CMP comparison based on selected factor levels</w:t>
      </w:r>
      <w:r w:rsidR="00FB5277">
        <w:t xml:space="preserve">”, </w:t>
      </w:r>
      <w:r w:rsidR="00B2309C">
        <w:t xml:space="preserve">select the factors for which this is the case, and select the levels </w:t>
      </w:r>
      <w:r w:rsidR="00EF3980">
        <w:t xml:space="preserve">that should be included in the </w:t>
      </w:r>
      <w:r w:rsidR="00B2309C">
        <w:t>test</w:t>
      </w:r>
      <w:r w:rsidR="00EF3980">
        <w:t xml:space="preserve"> versus </w:t>
      </w:r>
      <w:r w:rsidR="00B2309C">
        <w:t>comparator</w:t>
      </w:r>
      <w:r w:rsidR="00EF3980">
        <w:t xml:space="preserve"> comparison</w:t>
      </w:r>
      <w:r w:rsidR="00B2309C">
        <w:t>.</w:t>
      </w:r>
      <w:r w:rsidR="004D5273">
        <w:t xml:space="preserve"> If the comparisons are different for all/some endpoints, u</w:t>
      </w:r>
      <w:r w:rsidR="004D5273" w:rsidRPr="00C86DCE">
        <w:t xml:space="preserve">ncheck the </w:t>
      </w:r>
      <w:r w:rsidR="004D5273">
        <w:t>checkbox “</w:t>
      </w:r>
      <w:r w:rsidR="004D5273" w:rsidRPr="00BD7C38">
        <w:rPr>
          <w:i/>
        </w:rPr>
        <w:t>Use interactions for all endpoints</w:t>
      </w:r>
      <w:r w:rsidR="004D5273">
        <w:t>”</w:t>
      </w:r>
      <w:r w:rsidR="004D5273" w:rsidRPr="00C86DCE">
        <w:t xml:space="preserve"> will allow you to specify specific endpoints in the next screen.</w:t>
      </w:r>
    </w:p>
    <w:p w14:paraId="75E3B411" w14:textId="77777777" w:rsidR="003646AE" w:rsidRDefault="008F109E" w:rsidP="006D6341">
      <w:pPr>
        <w:spacing w:before="240"/>
      </w:pPr>
      <w:r>
        <w:rPr>
          <w:noProof/>
          <w:lang w:eastAsia="en-GB"/>
        </w:rPr>
        <w:drawing>
          <wp:inline distT="0" distB="0" distL="0" distR="0" wp14:anchorId="31EF7DBC" wp14:editId="4BB7628C">
            <wp:extent cx="5760720" cy="3263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63755"/>
                    </a:xfrm>
                    <a:prstGeom prst="rect">
                      <a:avLst/>
                    </a:prstGeom>
                  </pic:spPr>
                </pic:pic>
              </a:graphicData>
            </a:graphic>
          </wp:inline>
        </w:drawing>
      </w:r>
    </w:p>
    <w:p w14:paraId="3B7FF4F3" w14:textId="77777777" w:rsidR="00C86DCE" w:rsidRDefault="00EF3980" w:rsidP="003646AE">
      <w:pPr>
        <w:spacing w:before="240"/>
      </w:pPr>
      <w:r w:rsidRPr="00EF3980">
        <w:t>In this example the comparison of interest is between the Test variety with IPM2.0 spaying and the Comparator variety with weekly spraying . Note that interactions with variety will lower the effective replication, because data from only a subset of levels of the other factor are used in the comparison.</w:t>
      </w:r>
      <w:r w:rsidR="00C86DCE" w:rsidRPr="00C86DCE">
        <w:t xml:space="preserve"> </w:t>
      </w:r>
    </w:p>
    <w:p w14:paraId="36E4E306" w14:textId="77777777" w:rsidR="00C86DCE" w:rsidRDefault="004A4A5E" w:rsidP="00C86DCE">
      <w:pPr>
        <w:pStyle w:val="Heading2"/>
      </w:pPr>
      <w:r>
        <w:t>Define c</w:t>
      </w:r>
      <w:r w:rsidR="00C86DCE">
        <w:t>omparisons</w:t>
      </w:r>
      <w:r>
        <w:t xml:space="preserve"> per endpoint</w:t>
      </w:r>
    </w:p>
    <w:p w14:paraId="05E6215E" w14:textId="77777777" w:rsidR="00C86DCE" w:rsidRDefault="004A4A5E" w:rsidP="00C86DCE">
      <w:r>
        <w:t>This tab allows you to specify/modify the comparisons per endpoint.</w:t>
      </w:r>
      <w:r w:rsidR="003646AE">
        <w:t xml:space="preserve"> This tab is available only when the checkbox </w:t>
      </w:r>
      <w:r w:rsidR="004D5273">
        <w:t>“</w:t>
      </w:r>
      <w:r w:rsidR="003646AE" w:rsidRPr="0054402C">
        <w:rPr>
          <w:i/>
        </w:rPr>
        <w:t>Use interactions for all endpoints</w:t>
      </w:r>
      <w:r w:rsidR="004D5273">
        <w:t>”</w:t>
      </w:r>
      <w:r w:rsidR="003646AE">
        <w:t xml:space="preserve"> is unchecked</w:t>
      </w:r>
      <w:r w:rsidR="0054402C">
        <w:t xml:space="preserve"> in the </w:t>
      </w:r>
      <w:r w:rsidR="0054402C" w:rsidRPr="0054402C">
        <w:rPr>
          <w:i/>
        </w:rPr>
        <w:t>define comparison</w:t>
      </w:r>
      <w:r w:rsidR="0054402C">
        <w:t xml:space="preserve"> tab</w:t>
      </w:r>
      <w:r w:rsidR="003646AE">
        <w:t>.</w:t>
      </w:r>
      <w:r w:rsidR="00C05D69">
        <w:t xml:space="preserve"> The top-table allows you to select the endpoint, and to specify for which of the factors, an interaction with variety is expected. The bottom-table allows you to include or exclude specific factor levels. </w:t>
      </w:r>
    </w:p>
    <w:p w14:paraId="689AD1DC" w14:textId="77777777" w:rsidR="00C05D69" w:rsidRDefault="00B01EFB" w:rsidP="00C86DCE">
      <w:r>
        <w:rPr>
          <w:noProof/>
          <w:lang w:eastAsia="en-GB"/>
        </w:rPr>
        <w:lastRenderedPageBreak/>
        <w:drawing>
          <wp:inline distT="0" distB="0" distL="0" distR="0" wp14:anchorId="554C791D" wp14:editId="71CF28B8">
            <wp:extent cx="5761498" cy="332799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327541"/>
                    </a:xfrm>
                    <a:prstGeom prst="rect">
                      <a:avLst/>
                    </a:prstGeom>
                  </pic:spPr>
                </pic:pic>
              </a:graphicData>
            </a:graphic>
          </wp:inline>
        </w:drawing>
      </w:r>
    </w:p>
    <w:p w14:paraId="1671E667" w14:textId="77777777" w:rsidR="0050777C" w:rsidRDefault="0050777C" w:rsidP="00C86DCE">
      <w:pPr>
        <w:pStyle w:val="Heading2"/>
      </w:pPr>
      <w:r>
        <w:t>Additional means</w:t>
      </w:r>
    </w:p>
    <w:p w14:paraId="2AA0AC1A" w14:textId="77777777" w:rsidR="0050777C" w:rsidRDefault="00A80B7B" w:rsidP="00154F2D">
      <w:r>
        <w:t xml:space="preserve">If factor levels were excluded from the comparison in the </w:t>
      </w:r>
      <w:r w:rsidR="00154F2D" w:rsidRPr="00A72D47">
        <w:rPr>
          <w:i/>
        </w:rPr>
        <w:t>d</w:t>
      </w:r>
      <w:r w:rsidRPr="00A72D47">
        <w:rPr>
          <w:i/>
        </w:rPr>
        <w:t>efine comparison</w:t>
      </w:r>
      <w:r>
        <w:t xml:space="preserve"> tab, then t</w:t>
      </w:r>
      <w:r w:rsidR="0050777C" w:rsidRPr="0050777C">
        <w:t xml:space="preserve">here are data which are not directly involved in the comparison </w:t>
      </w:r>
      <w:r w:rsidR="0050777C">
        <w:t xml:space="preserve">test </w:t>
      </w:r>
      <w:r w:rsidR="0050777C" w:rsidRPr="0050777C">
        <w:t xml:space="preserve">to </w:t>
      </w:r>
      <w:r w:rsidR="0050777C">
        <w:t>comparator</w:t>
      </w:r>
      <w:r w:rsidR="0050777C" w:rsidRPr="0050777C">
        <w:t xml:space="preserve">. </w:t>
      </w:r>
      <w:r>
        <w:t>However, s</w:t>
      </w:r>
      <w:r w:rsidR="0050777C" w:rsidRPr="0050777C">
        <w:t xml:space="preserve">uch data may </w:t>
      </w:r>
      <w:r w:rsidR="00B776FA">
        <w:t xml:space="preserve">still </w:t>
      </w:r>
      <w:r w:rsidR="0050777C" w:rsidRPr="0050777C">
        <w:t>be useful for pooling variance estimates</w:t>
      </w:r>
      <w:r w:rsidR="00B776FA">
        <w:t>. T</w:t>
      </w:r>
      <w:r w:rsidR="0050777C" w:rsidRPr="0050777C">
        <w:t xml:space="preserve">he usefulness </w:t>
      </w:r>
      <w:r w:rsidR="00B776FA">
        <w:t>depends</w:t>
      </w:r>
      <w:r w:rsidR="0050777C" w:rsidRPr="0050777C">
        <w:t xml:space="preserve"> on the expected means. </w:t>
      </w:r>
      <w:r w:rsidR="00154F2D">
        <w:t xml:space="preserve">In the </w:t>
      </w:r>
      <w:r w:rsidR="00154F2D" w:rsidRPr="00E5278C">
        <w:rPr>
          <w:i/>
        </w:rPr>
        <w:t>additional means</w:t>
      </w:r>
      <w:r w:rsidR="00154F2D">
        <w:t xml:space="preserve"> tab, differing means can be specified for factor levels that were excluded from analysis.</w:t>
      </w:r>
    </w:p>
    <w:p w14:paraId="70F71B23" w14:textId="77777777" w:rsidR="00A80B7B" w:rsidRPr="0050777C" w:rsidRDefault="00B01EFB" w:rsidP="0050777C">
      <w:r>
        <w:rPr>
          <w:noProof/>
          <w:lang w:eastAsia="en-GB"/>
        </w:rPr>
        <w:drawing>
          <wp:inline distT="0" distB="0" distL="0" distR="0" wp14:anchorId="335A1D38" wp14:editId="231FC948">
            <wp:extent cx="5760720" cy="326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63755"/>
                    </a:xfrm>
                    <a:prstGeom prst="rect">
                      <a:avLst/>
                    </a:prstGeom>
                  </pic:spPr>
                </pic:pic>
              </a:graphicData>
            </a:graphic>
          </wp:inline>
        </w:drawing>
      </w:r>
    </w:p>
    <w:p w14:paraId="52D908AC" w14:textId="77777777" w:rsidR="00531942" w:rsidRDefault="000B6887" w:rsidP="007C7E4C">
      <w:pPr>
        <w:spacing w:before="240"/>
      </w:pPr>
      <w:r>
        <w:t>Note that t</w:t>
      </w:r>
      <w:r w:rsidR="00531942">
        <w:t>he power of tests will be lower if data are uninformative or less informative, e.g.</w:t>
      </w:r>
      <w:r>
        <w:t>,</w:t>
      </w:r>
      <w:r w:rsidR="00531942">
        <w:t xml:space="preserve"> if counts are very low (&lt;5). In principle, the already specified </w:t>
      </w:r>
      <w:r>
        <w:t>c</w:t>
      </w:r>
      <w:r w:rsidR="00531942">
        <w:t xml:space="preserve">omparator </w:t>
      </w:r>
      <w:r>
        <w:t>m</w:t>
      </w:r>
      <w:r w:rsidR="00531942">
        <w:t>eans and CVs are sufficient to perform the power analysis. However, it should be specified if other factors in the design are expected to make part of the data less informative.</w:t>
      </w:r>
    </w:p>
    <w:p w14:paraId="6B2E8B2B" w14:textId="77777777" w:rsidR="00531942" w:rsidRDefault="00531942" w:rsidP="00531942">
      <w:r>
        <w:lastRenderedPageBreak/>
        <w:t>For fixed factors, provide multiplication factors for factor levels where data may become less informative (e.g.</w:t>
      </w:r>
      <w:r w:rsidR="00945571">
        <w:t>,</w:t>
      </w:r>
      <w:r>
        <w:t xml:space="preserve"> counts less than 5).</w:t>
      </w:r>
      <w:r w:rsidRPr="00C86DCE">
        <w:t xml:space="preserve"> </w:t>
      </w:r>
    </w:p>
    <w:p w14:paraId="739DE4E8" w14:textId="77777777" w:rsidR="003265E9" w:rsidRDefault="003265E9" w:rsidP="003265E9">
      <w:r>
        <w:t>A restriction for the modifiers is that the joint effect of the modifiers should be neutral:</w:t>
      </w:r>
    </w:p>
    <w:p w14:paraId="0B6394E4" w14:textId="77777777" w:rsidR="003265E9" w:rsidRPr="0088199B" w:rsidRDefault="00000000" w:rsidP="00262A65">
      <w:pPr>
        <w:jc w:val="center"/>
      </w:pP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r>
          <w:rPr>
            <w:rFonts w:ascii="Cambria Math" w:hAnsi="Cambria Math"/>
          </w:rPr>
          <m:t>=μ</m:t>
        </m:r>
      </m:oMath>
      <w:r w:rsidR="00262A65">
        <w:t>.</w:t>
      </w:r>
    </w:p>
    <w:p w14:paraId="0653A501" w14:textId="77777777" w:rsidR="00945571" w:rsidRDefault="00262A65" w:rsidP="00EA75E6">
      <w:r>
        <w:t>H</w:t>
      </w:r>
      <w:r w:rsidR="003265E9">
        <w:t>ere</w:t>
      </w:r>
      <w:r>
        <w:t>,</w:t>
      </w:r>
      <w:r w:rsidR="003265E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3265E9">
        <w:t xml:space="preserve"> denotes the modified mean for level  </w:t>
      </w:r>
      <m:oMath>
        <m:r>
          <w:rPr>
            <w:rFonts w:ascii="Cambria Math" w:hAnsi="Cambria Math"/>
          </w:rPr>
          <m:t>i</m:t>
        </m:r>
      </m:oMath>
      <w:r w:rsidR="003265E9">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265E9">
        <w:t xml:space="preserve"> denotes the frequency of this level.</w:t>
      </w:r>
    </w:p>
    <w:p w14:paraId="51EDD75A" w14:textId="77777777" w:rsidR="00EA75E6" w:rsidRDefault="003265E9" w:rsidP="00EA75E6">
      <w:r>
        <w:t xml:space="preserve">For counts and non-negative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is</w:t>
      </w:r>
    </w:p>
    <w:p w14:paraId="2C6B762E" w14:textId="77777777" w:rsidR="00701002" w:rsidRDefault="00000000"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∙μ</m:t>
        </m:r>
      </m:oMath>
      <w:r w:rsidR="00701002">
        <w:t xml:space="preserve"> .</w:t>
      </w:r>
    </w:p>
    <w:p w14:paraId="31A19E6D" w14:textId="77777777" w:rsidR="00635D17" w:rsidRDefault="00635D17" w:rsidP="00635D17">
      <w:r>
        <w:t xml:space="preserve">Following the restriction that the joint effect should be neutral, the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for level </w:t>
      </w:r>
      <m:oMath>
        <m:r>
          <w:rPr>
            <w:rFonts w:ascii="Cambria Math" w:hAnsi="Cambria Math"/>
          </w:rPr>
          <m:t>i</m:t>
        </m:r>
      </m:oMath>
      <w:r>
        <w:t xml:space="preserve"> is computed from the other levels as</w:t>
      </w:r>
    </w:p>
    <w:p w14:paraId="20477BAA" w14:textId="77777777" w:rsidR="00524EF3" w:rsidRDefault="00000000"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635D17">
        <w:t>.</w:t>
      </w:r>
    </w:p>
    <w:p w14:paraId="715FE7D8" w14:textId="77777777" w:rsidR="00524EF3" w:rsidRDefault="00524EF3" w:rsidP="00524EF3">
      <w:r>
        <w:t xml:space="preserve">A lower bound for the modifier is </w:t>
      </w: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&gt;0.1</m:t>
        </m:r>
      </m:oMath>
      <w:r>
        <w:t xml:space="preserve"> and from this follows an upper bound the following upper bound</w:t>
      </w:r>
    </w:p>
    <w:p w14:paraId="074E476D" w14:textId="77777777" w:rsidR="00635D17" w:rsidRPr="00EA75E6" w:rsidRDefault="00000000"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524EF3">
        <w:t>.</w:t>
      </w:r>
    </w:p>
    <w:p w14:paraId="6116E11C" w14:textId="77777777" w:rsidR="001B772E" w:rsidRDefault="00D93298" w:rsidP="001B772E">
      <w:r>
        <w:t xml:space="preserve">For continuous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945571">
        <w:t xml:space="preserve"> is, in </w:t>
      </w:r>
      <w:r w:rsidR="00704BC6">
        <w:t>theory</w:t>
      </w:r>
      <w:r w:rsidR="00945571">
        <w:t xml:space="preserve">, defined </w:t>
      </w:r>
      <w:r>
        <w:t>as</w:t>
      </w:r>
    </w:p>
    <w:p w14:paraId="45C6D812" w14:textId="77777777" w:rsidR="001B772E" w:rsidRDefault="00000000"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=∆+μ</m:t>
        </m:r>
      </m:oMath>
      <w:r w:rsidR="00701002">
        <w:t xml:space="preserve"> </w:t>
      </w:r>
      <w:r w:rsidR="00D93298">
        <w:t>.</w:t>
      </w:r>
    </w:p>
    <w:p w14:paraId="785C0FC4" w14:textId="77777777" w:rsidR="00D93298" w:rsidRDefault="00D93298" w:rsidP="00C86DCE">
      <w:r>
        <w:t>However, for this measurement type, the modifier will have no effect on the power analysis.</w:t>
      </w:r>
    </w:p>
    <w:p w14:paraId="7ED5BB40" w14:textId="77777777" w:rsidR="00037391" w:rsidRDefault="00037391" w:rsidP="00C86DCE">
      <w:pPr>
        <w:pStyle w:val="Heading2"/>
      </w:pPr>
      <w:r>
        <w:t>Block modifiers</w:t>
      </w:r>
    </w:p>
    <w:p w14:paraId="687D7990" w14:textId="77777777" w:rsidR="00037391" w:rsidRDefault="007F0324" w:rsidP="00037391">
      <w:r>
        <w:t>For randomized complete block designs, it may be that there large differences between blocks, causing part of the data to be less informative. If this is the case, then use th</w:t>
      </w:r>
      <w:r w:rsidR="00ED1876">
        <w:t xml:space="preserve">e </w:t>
      </w:r>
      <w:r w:rsidR="00ED1876" w:rsidRPr="00ED1876">
        <w:rPr>
          <w:i/>
        </w:rPr>
        <w:t>block modifie</w:t>
      </w:r>
      <w:r w:rsidR="00ED1876">
        <w:rPr>
          <w:i/>
        </w:rPr>
        <w:t>r</w:t>
      </w:r>
      <w:r w:rsidR="00ED1876" w:rsidRPr="00ED1876">
        <w:rPr>
          <w:i/>
        </w:rPr>
        <w:t>s</w:t>
      </w:r>
      <w:r w:rsidR="00ED1876">
        <w:t xml:space="preserve"> </w:t>
      </w:r>
      <w:r>
        <w:t>tab to specify the variation between blocks in terms of a CV (%).</w:t>
      </w:r>
    </w:p>
    <w:p w14:paraId="30AD7822" w14:textId="77777777" w:rsidR="000B6887" w:rsidRDefault="00B01EFB" w:rsidP="000B6887">
      <w:pPr>
        <w:spacing w:before="240"/>
      </w:pPr>
      <w:r>
        <w:rPr>
          <w:noProof/>
          <w:lang w:eastAsia="en-GB"/>
        </w:rPr>
        <w:drawing>
          <wp:inline distT="0" distB="0" distL="0" distR="0" wp14:anchorId="1579A421" wp14:editId="769A38B6">
            <wp:extent cx="5760720" cy="3263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63755"/>
                    </a:xfrm>
                    <a:prstGeom prst="rect">
                      <a:avLst/>
                    </a:prstGeom>
                  </pic:spPr>
                </pic:pic>
              </a:graphicData>
            </a:graphic>
          </wp:inline>
        </w:drawing>
      </w:r>
    </w:p>
    <w:p w14:paraId="09E67CA2" w14:textId="77777777" w:rsidR="006C3831" w:rsidRPr="00037391" w:rsidRDefault="005129DA" w:rsidP="000B6887">
      <w:pPr>
        <w:spacing w:before="240"/>
      </w:pPr>
      <w:r>
        <w:t>Note that w</w:t>
      </w:r>
      <w:r w:rsidR="006C3831">
        <w:t xml:space="preserve">ithin the software, block effects are modelled according to the description of Goedhart et al. </w:t>
      </w:r>
      <w:r w:rsidR="00523A50">
        <w:t>(</w:t>
      </w:r>
      <w:r w:rsidR="006C3831">
        <w:t xml:space="preserve">2014). </w:t>
      </w:r>
    </w:p>
    <w:p w14:paraId="6A4802E1" w14:textId="77777777" w:rsidR="00C86DCE" w:rsidRDefault="008F6B77" w:rsidP="00C86DCE">
      <w:pPr>
        <w:pStyle w:val="Heading2"/>
      </w:pPr>
      <w:r>
        <w:lastRenderedPageBreak/>
        <w:t>Analysis</w:t>
      </w:r>
    </w:p>
    <w:p w14:paraId="67A35C22" w14:textId="77777777" w:rsidR="00E56992" w:rsidRDefault="00E56992" w:rsidP="006C1236">
      <w:r>
        <w:t xml:space="preserve">In the </w:t>
      </w:r>
      <w:r w:rsidRPr="00884449">
        <w:rPr>
          <w:i/>
        </w:rPr>
        <w:t>analysis</w:t>
      </w:r>
      <w:r>
        <w:t xml:space="preserve"> tab, analysis- and power analysis-specific settings can be specified.</w:t>
      </w:r>
    </w:p>
    <w:p w14:paraId="011281DC" w14:textId="77777777" w:rsidR="00E56992" w:rsidRDefault="00E56992" w:rsidP="006C1236">
      <w:r>
        <w:t>The power analysis settings comprise choosing the significance level, the replication levels, and the number of levels between no-difference and each LoC for which to compute the power.</w:t>
      </w:r>
    </w:p>
    <w:p w14:paraId="3E0C91EA" w14:textId="77777777" w:rsidR="00E56992" w:rsidRDefault="00E56992" w:rsidP="00E56992">
      <w:r>
        <w:t>In simple cases (continuous and non-negative with log(</w:t>
      </w:r>
      <w:proofErr w:type="spellStart"/>
      <w:r>
        <w:t>x+m</w:t>
      </w:r>
      <w:proofErr w:type="spellEnd"/>
      <w:r>
        <w:t>) method) a direct power calculation is made. For counts and non-negative measurement types with a gamma distribution, exact power calculation is not possible. For these endpoints, results can be obtained by means of Monte-Carlo simulation or</w:t>
      </w:r>
      <w:r w:rsidR="00413275">
        <w:t xml:space="preserve"> in some cases it is possible to use </w:t>
      </w:r>
      <w:r>
        <w:t xml:space="preserve">the approximate method </w:t>
      </w:r>
      <w:r w:rsidR="00413275">
        <w:t>of Lyles et al.</w:t>
      </w:r>
      <w:r>
        <w:t xml:space="preserve"> </w:t>
      </w:r>
      <w:r w:rsidR="00413275">
        <w:t>(</w:t>
      </w:r>
      <w:r>
        <w:t>2007). The latter is recommended, because it is much faster.</w:t>
      </w:r>
      <w:r w:rsidR="00413275">
        <w:t xml:space="preserve"> When the option </w:t>
      </w:r>
      <w:r w:rsidR="00413275" w:rsidRPr="00413275">
        <w:rPr>
          <w:i/>
        </w:rPr>
        <w:t>approximate if possible</w:t>
      </w:r>
      <w:r w:rsidR="00413275">
        <w:t xml:space="preserve"> is se</w:t>
      </w:r>
      <w:r w:rsidR="00773F1D">
        <w:t>lected</w:t>
      </w:r>
      <w:r w:rsidR="00413275">
        <w:t xml:space="preserve">, the method of Lyles will be used when possible. </w:t>
      </w:r>
    </w:p>
    <w:p w14:paraId="0346924F" w14:textId="77777777" w:rsidR="00E56992" w:rsidRDefault="00E56992" w:rsidP="00E56992">
      <w:r>
        <w:t>Two types of statistical tests are considered; the difference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t>) and the equivalence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rsidR="00A558AE" w:rsidRPr="00A558AE">
        <w:t>,</w:t>
      </w:r>
      <w:r w:rsidR="00A558AE">
        <w:t xml:space="preserve"> </w:t>
      </w:r>
      <w:r w:rsidR="00A558AE" w:rsidRPr="00A558AE">
        <w:t xml:space="preserve">see </w:t>
      </w:r>
      <w:proofErr w:type="spellStart"/>
      <w:r w:rsidR="00A558AE">
        <w:t>Schuirmann</w:t>
      </w:r>
      <w:proofErr w:type="spellEnd"/>
      <w:r w:rsidR="00A558AE">
        <w:t xml:space="preserve"> et al. 1987, Perry et al. 2009</w:t>
      </w:r>
      <w:r>
        <w:t>). For each test type, the method(s) of analysis method is/are to be specified. These may differ per</w:t>
      </w:r>
      <w:r w:rsidR="005444D2">
        <w:t xml:space="preserve"> test type. Different methods of analysis are available/suitable for different measurement types.</w:t>
      </w:r>
    </w:p>
    <w:p w14:paraId="4567868A" w14:textId="77777777" w:rsidR="007C7E4C" w:rsidRDefault="007C7E4C" w:rsidP="00E56992">
      <w:r>
        <w:t>When the settings are specifie</w:t>
      </w:r>
      <w:r w:rsidR="00E956A7">
        <w:t xml:space="preserve">d as desired, the pressing the </w:t>
      </w:r>
      <w:r w:rsidR="00E956A7" w:rsidRPr="00E956A7">
        <w:rPr>
          <w:i/>
        </w:rPr>
        <w:t>R</w:t>
      </w:r>
      <w:r w:rsidRPr="00E956A7">
        <w:rPr>
          <w:i/>
        </w:rPr>
        <w:t>un</w:t>
      </w:r>
      <w:r>
        <w:t xml:space="preserve"> button will start the power analysis for all endpoints.</w:t>
      </w:r>
      <w:r w:rsidR="00341640">
        <w:t xml:space="preserve"> The analysis may take a while, depending on the number of endpoints, the design, and the specified settings.</w:t>
      </w:r>
      <w:r w:rsidR="00EA6F2E">
        <w:t xml:space="preserve"> A progress bar will provide an indication of the progress and the time remaining.</w:t>
      </w:r>
    </w:p>
    <w:p w14:paraId="2FA12B8F" w14:textId="77777777" w:rsidR="006C1236" w:rsidRDefault="00413275" w:rsidP="006C1236">
      <w:r>
        <w:rPr>
          <w:noProof/>
          <w:lang w:eastAsia="en-GB"/>
        </w:rPr>
        <w:drawing>
          <wp:inline distT="0" distB="0" distL="0" distR="0" wp14:anchorId="157E9D33" wp14:editId="35616367">
            <wp:extent cx="5760720" cy="43588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358818"/>
                    </a:xfrm>
                    <a:prstGeom prst="rect">
                      <a:avLst/>
                    </a:prstGeom>
                  </pic:spPr>
                </pic:pic>
              </a:graphicData>
            </a:graphic>
          </wp:inline>
        </w:drawing>
      </w:r>
    </w:p>
    <w:p w14:paraId="5510EC1B" w14:textId="77777777" w:rsidR="00E313D7" w:rsidRDefault="00E313D7" w:rsidP="00E313D7">
      <w:pPr>
        <w:spacing w:before="240"/>
      </w:pPr>
      <w:r>
        <w:t>The following methods of analysis are available for the different measurement types:</w:t>
      </w:r>
    </w:p>
    <w:tbl>
      <w:tblPr>
        <w:tblStyle w:val="TableGrid"/>
        <w:tblW w:w="9076" w:type="dxa"/>
        <w:jc w:val="center"/>
        <w:tblLook w:val="04A0" w:firstRow="1" w:lastRow="0" w:firstColumn="1" w:lastColumn="0" w:noHBand="0" w:noVBand="1"/>
      </w:tblPr>
      <w:tblGrid>
        <w:gridCol w:w="1390"/>
        <w:gridCol w:w="3966"/>
        <w:gridCol w:w="1840"/>
        <w:gridCol w:w="1880"/>
      </w:tblGrid>
      <w:tr w:rsidR="00E313D7" w:rsidRPr="00D87FC5" w14:paraId="4326845F" w14:textId="77777777" w:rsidTr="004C7343">
        <w:trPr>
          <w:jc w:val="center"/>
        </w:trPr>
        <w:tc>
          <w:tcPr>
            <w:tcW w:w="1390" w:type="dxa"/>
          </w:tcPr>
          <w:p w14:paraId="053EBBE0" w14:textId="77777777"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Measurement type</w:t>
            </w:r>
          </w:p>
        </w:tc>
        <w:tc>
          <w:tcPr>
            <w:tcW w:w="3966" w:type="dxa"/>
          </w:tcPr>
          <w:p w14:paraId="52BA41B6" w14:textId="77777777"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840" w:type="dxa"/>
          </w:tcPr>
          <w:p w14:paraId="4E77CBF1" w14:textId="77777777"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Recommended</w:t>
            </w:r>
            <w:r w:rsidR="00C13C1C">
              <w:rPr>
                <w:rStyle w:val="FootnoteReference"/>
                <w:rFonts w:asciiTheme="minorHAnsi" w:hAnsiTheme="minorHAnsi" w:cs="Times New Roman"/>
                <w:b/>
                <w:sz w:val="20"/>
                <w:szCs w:val="20"/>
              </w:rPr>
              <w:footnoteReference w:id="1"/>
            </w:r>
            <w:r>
              <w:rPr>
                <w:rFonts w:asciiTheme="minorHAnsi" w:hAnsiTheme="minorHAnsi" w:cs="Times New Roman"/>
                <w:b/>
                <w:sz w:val="20"/>
                <w:szCs w:val="20"/>
              </w:rPr>
              <w:t xml:space="preserve"> for difference test</w:t>
            </w:r>
          </w:p>
        </w:tc>
        <w:tc>
          <w:tcPr>
            <w:tcW w:w="1880" w:type="dxa"/>
          </w:tcPr>
          <w:p w14:paraId="64D7BACF" w14:textId="77777777" w:rsidR="00E313D7" w:rsidRPr="00D87FC5" w:rsidRDefault="00E313D7" w:rsidP="00D80334">
            <w:pPr>
              <w:rPr>
                <w:rFonts w:asciiTheme="minorHAnsi" w:hAnsiTheme="minorHAnsi" w:cs="Times New Roman"/>
                <w:b/>
                <w:sz w:val="20"/>
                <w:szCs w:val="20"/>
              </w:rPr>
            </w:pPr>
            <w:r>
              <w:rPr>
                <w:rFonts w:asciiTheme="minorHAnsi" w:hAnsiTheme="minorHAnsi" w:cs="Times New Roman"/>
                <w:b/>
                <w:sz w:val="20"/>
                <w:szCs w:val="20"/>
              </w:rPr>
              <w:t>Recommended</w:t>
            </w:r>
            <w:r w:rsidR="00C13C1C" w:rsidRPr="00C13C1C">
              <w:rPr>
                <w:rFonts w:asciiTheme="minorHAnsi" w:hAnsiTheme="minorHAnsi" w:cs="Times New Roman"/>
                <w:b/>
                <w:sz w:val="20"/>
                <w:szCs w:val="20"/>
                <w:vertAlign w:val="superscript"/>
              </w:rPr>
              <w:t>1</w:t>
            </w:r>
            <w:r>
              <w:rPr>
                <w:rFonts w:asciiTheme="minorHAnsi" w:hAnsiTheme="minorHAnsi" w:cs="Times New Roman"/>
                <w:b/>
                <w:sz w:val="20"/>
                <w:szCs w:val="20"/>
              </w:rPr>
              <w:t xml:space="preserve"> for equivalence test</w:t>
            </w:r>
          </w:p>
        </w:tc>
      </w:tr>
      <w:tr w:rsidR="00E313D7" w:rsidRPr="00D87FC5" w14:paraId="18D16120" w14:textId="77777777" w:rsidTr="004C7343">
        <w:trPr>
          <w:trHeight w:val="270"/>
          <w:jc w:val="center"/>
        </w:trPr>
        <w:tc>
          <w:tcPr>
            <w:tcW w:w="1390" w:type="dxa"/>
            <w:vMerge w:val="restart"/>
          </w:tcPr>
          <w:p w14:paraId="37B0FCF0" w14:textId="77777777"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lastRenderedPageBreak/>
              <w:t>Counts</w:t>
            </w:r>
          </w:p>
        </w:tc>
        <w:tc>
          <w:tcPr>
            <w:tcW w:w="3966" w:type="dxa"/>
          </w:tcPr>
          <w:p w14:paraId="1BE46785"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Log(N+1) transformation</w:t>
            </w:r>
          </w:p>
        </w:tc>
        <w:tc>
          <w:tcPr>
            <w:tcW w:w="1840" w:type="dxa"/>
          </w:tcPr>
          <w:p w14:paraId="2464151C" w14:textId="77777777" w:rsidR="00E313D7" w:rsidRPr="00D87FC5" w:rsidRDefault="00E313D7" w:rsidP="00D80334">
            <w:pPr>
              <w:rPr>
                <w:rFonts w:asciiTheme="minorHAnsi" w:hAnsiTheme="minorHAnsi" w:cs="Times New Roman"/>
                <w:sz w:val="20"/>
                <w:szCs w:val="20"/>
              </w:rPr>
            </w:pPr>
          </w:p>
        </w:tc>
        <w:tc>
          <w:tcPr>
            <w:tcW w:w="1880" w:type="dxa"/>
          </w:tcPr>
          <w:p w14:paraId="2E8AAB10"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r>
      <w:tr w:rsidR="00E313D7" w:rsidRPr="00D87FC5" w14:paraId="2A66B965" w14:textId="77777777" w:rsidTr="004C7343">
        <w:trPr>
          <w:trHeight w:val="270"/>
          <w:jc w:val="center"/>
        </w:trPr>
        <w:tc>
          <w:tcPr>
            <w:tcW w:w="1390" w:type="dxa"/>
            <w:vMerge/>
          </w:tcPr>
          <w:p w14:paraId="3387DA13" w14:textId="77777777" w:rsidR="00E313D7" w:rsidRPr="00D87FC5" w:rsidRDefault="00E313D7" w:rsidP="00D80334">
            <w:pPr>
              <w:rPr>
                <w:rFonts w:asciiTheme="minorHAnsi" w:hAnsiTheme="minorHAnsi" w:cs="Times New Roman"/>
                <w:sz w:val="20"/>
                <w:szCs w:val="20"/>
              </w:rPr>
            </w:pPr>
          </w:p>
        </w:tc>
        <w:tc>
          <w:tcPr>
            <w:tcW w:w="3966" w:type="dxa"/>
          </w:tcPr>
          <w:p w14:paraId="7DC5CF62"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Square Root transformation</w:t>
            </w:r>
          </w:p>
        </w:tc>
        <w:tc>
          <w:tcPr>
            <w:tcW w:w="1840" w:type="dxa"/>
          </w:tcPr>
          <w:p w14:paraId="28B1E38E" w14:textId="77777777" w:rsidR="00E313D7" w:rsidRPr="00D87FC5" w:rsidRDefault="00E313D7" w:rsidP="00D80334">
            <w:pPr>
              <w:rPr>
                <w:rFonts w:asciiTheme="minorHAnsi" w:hAnsiTheme="minorHAnsi" w:cs="Times New Roman"/>
                <w:sz w:val="20"/>
                <w:szCs w:val="20"/>
              </w:rPr>
            </w:pPr>
          </w:p>
        </w:tc>
        <w:tc>
          <w:tcPr>
            <w:tcW w:w="1880" w:type="dxa"/>
          </w:tcPr>
          <w:p w14:paraId="4B73894A" w14:textId="77777777" w:rsidR="00E313D7" w:rsidRPr="00D87FC5" w:rsidRDefault="00E313D7" w:rsidP="00D80334">
            <w:pPr>
              <w:rPr>
                <w:rFonts w:asciiTheme="minorHAnsi" w:hAnsiTheme="minorHAnsi" w:cs="Times New Roman"/>
                <w:sz w:val="20"/>
                <w:szCs w:val="20"/>
              </w:rPr>
            </w:pPr>
          </w:p>
        </w:tc>
      </w:tr>
      <w:tr w:rsidR="00E313D7" w:rsidRPr="00D87FC5" w14:paraId="6436DBB0" w14:textId="77777777" w:rsidTr="004C7343">
        <w:trPr>
          <w:trHeight w:val="270"/>
          <w:jc w:val="center"/>
        </w:trPr>
        <w:tc>
          <w:tcPr>
            <w:tcW w:w="1390" w:type="dxa"/>
            <w:vMerge/>
          </w:tcPr>
          <w:p w14:paraId="41E3258B" w14:textId="77777777" w:rsidR="00E313D7" w:rsidRPr="00D87FC5" w:rsidRDefault="00E313D7" w:rsidP="00D80334">
            <w:pPr>
              <w:rPr>
                <w:rFonts w:asciiTheme="minorHAnsi" w:hAnsiTheme="minorHAnsi" w:cs="Times New Roman"/>
                <w:sz w:val="20"/>
                <w:szCs w:val="20"/>
              </w:rPr>
            </w:pPr>
          </w:p>
        </w:tc>
        <w:tc>
          <w:tcPr>
            <w:tcW w:w="3966" w:type="dxa"/>
          </w:tcPr>
          <w:p w14:paraId="422414C5" w14:textId="77777777" w:rsidR="00E313D7" w:rsidRPr="00D87FC5" w:rsidRDefault="00E313D7" w:rsidP="00E313D7">
            <w:pPr>
              <w:rPr>
                <w:rFonts w:asciiTheme="minorHAnsi" w:hAnsiTheme="minorHAnsi" w:cs="Times New Roman"/>
                <w:sz w:val="20"/>
                <w:szCs w:val="20"/>
              </w:rPr>
            </w:pPr>
            <w:r>
              <w:rPr>
                <w:rFonts w:asciiTheme="minorHAnsi" w:hAnsiTheme="minorHAnsi" w:cs="Times New Roman"/>
                <w:sz w:val="20"/>
                <w:szCs w:val="20"/>
              </w:rPr>
              <w:t>Log-linear model with overdispersion</w:t>
            </w:r>
          </w:p>
        </w:tc>
        <w:tc>
          <w:tcPr>
            <w:tcW w:w="1840" w:type="dxa"/>
          </w:tcPr>
          <w:p w14:paraId="7D3DAA25"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c>
          <w:tcPr>
            <w:tcW w:w="1880" w:type="dxa"/>
          </w:tcPr>
          <w:p w14:paraId="41B552D0" w14:textId="77777777" w:rsidR="00E313D7" w:rsidRPr="00D87FC5" w:rsidRDefault="00E313D7" w:rsidP="00D80334">
            <w:pPr>
              <w:rPr>
                <w:rFonts w:asciiTheme="minorHAnsi" w:hAnsiTheme="minorHAnsi" w:cs="Times New Roman"/>
                <w:sz w:val="20"/>
                <w:szCs w:val="20"/>
              </w:rPr>
            </w:pPr>
          </w:p>
        </w:tc>
      </w:tr>
      <w:tr w:rsidR="00E313D7" w:rsidRPr="00D87FC5" w14:paraId="64EE7804" w14:textId="77777777" w:rsidTr="004C7343">
        <w:trPr>
          <w:trHeight w:val="270"/>
          <w:jc w:val="center"/>
        </w:trPr>
        <w:tc>
          <w:tcPr>
            <w:tcW w:w="1390" w:type="dxa"/>
            <w:vMerge/>
          </w:tcPr>
          <w:p w14:paraId="2796DEE2" w14:textId="77777777" w:rsidR="00E313D7" w:rsidRPr="00D87FC5" w:rsidRDefault="00E313D7" w:rsidP="00D80334">
            <w:pPr>
              <w:rPr>
                <w:rFonts w:asciiTheme="minorHAnsi" w:hAnsiTheme="minorHAnsi" w:cs="Times New Roman"/>
                <w:sz w:val="20"/>
                <w:szCs w:val="20"/>
              </w:rPr>
            </w:pPr>
          </w:p>
        </w:tc>
        <w:tc>
          <w:tcPr>
            <w:tcW w:w="3966" w:type="dxa"/>
          </w:tcPr>
          <w:p w14:paraId="61F145D0" w14:textId="77777777" w:rsidR="00E313D7" w:rsidRPr="00D87FC5" w:rsidRDefault="00F759FE" w:rsidP="00D80334">
            <w:pPr>
              <w:rPr>
                <w:rFonts w:asciiTheme="minorHAnsi" w:hAnsiTheme="minorHAnsi" w:cs="Times New Roman"/>
                <w:sz w:val="20"/>
                <w:szCs w:val="20"/>
              </w:rPr>
            </w:pPr>
            <w:r>
              <w:rPr>
                <w:rFonts w:asciiTheme="minorHAnsi" w:hAnsiTheme="minorHAnsi" w:cs="Times New Roman"/>
                <w:sz w:val="20"/>
                <w:szCs w:val="20"/>
              </w:rPr>
              <w:t>Negative Binomial model with log link</w:t>
            </w:r>
          </w:p>
        </w:tc>
        <w:tc>
          <w:tcPr>
            <w:tcW w:w="1840" w:type="dxa"/>
          </w:tcPr>
          <w:p w14:paraId="001021DF" w14:textId="77777777" w:rsidR="00E313D7" w:rsidRPr="00D87FC5" w:rsidRDefault="00E313D7" w:rsidP="00D80334">
            <w:pPr>
              <w:rPr>
                <w:rFonts w:asciiTheme="minorHAnsi" w:hAnsiTheme="minorHAnsi" w:cs="Times New Roman"/>
                <w:sz w:val="20"/>
                <w:szCs w:val="20"/>
              </w:rPr>
            </w:pPr>
          </w:p>
        </w:tc>
        <w:tc>
          <w:tcPr>
            <w:tcW w:w="1880" w:type="dxa"/>
          </w:tcPr>
          <w:p w14:paraId="05F00B4F" w14:textId="77777777" w:rsidR="00E313D7" w:rsidRPr="00D87FC5" w:rsidRDefault="00E313D7" w:rsidP="00D80334">
            <w:pPr>
              <w:rPr>
                <w:rFonts w:asciiTheme="minorHAnsi" w:hAnsiTheme="minorHAnsi" w:cs="Times New Roman"/>
                <w:sz w:val="20"/>
                <w:szCs w:val="20"/>
              </w:rPr>
            </w:pPr>
          </w:p>
        </w:tc>
      </w:tr>
      <w:tr w:rsidR="00E313D7" w:rsidRPr="00D87FC5" w14:paraId="3838650A" w14:textId="77777777" w:rsidTr="004C7343">
        <w:trPr>
          <w:jc w:val="center"/>
        </w:trPr>
        <w:tc>
          <w:tcPr>
            <w:tcW w:w="1390" w:type="dxa"/>
          </w:tcPr>
          <w:p w14:paraId="2B7F204B" w14:textId="77777777"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3966" w:type="dxa"/>
          </w:tcPr>
          <w:p w14:paraId="4706A1A8" w14:textId="77777777"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840" w:type="dxa"/>
          </w:tcPr>
          <w:p w14:paraId="64747DA6" w14:textId="77777777"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14:paraId="64053E6A" w14:textId="77777777" w:rsidR="00E313D7" w:rsidRPr="00D87FC5" w:rsidRDefault="00E313D7" w:rsidP="00D80334">
            <w:pPr>
              <w:keepNext/>
              <w:rPr>
                <w:rFonts w:asciiTheme="minorHAnsi" w:hAnsiTheme="minorHAnsi" w:cs="Times New Roman"/>
                <w:sz w:val="20"/>
                <w:szCs w:val="20"/>
              </w:rPr>
            </w:pPr>
          </w:p>
        </w:tc>
      </w:tr>
      <w:tr w:rsidR="00E313D7" w:rsidRPr="00D87FC5" w14:paraId="5C9BBF14" w14:textId="77777777" w:rsidTr="004C7343">
        <w:trPr>
          <w:jc w:val="center"/>
        </w:trPr>
        <w:tc>
          <w:tcPr>
            <w:tcW w:w="1390" w:type="dxa"/>
          </w:tcPr>
          <w:p w14:paraId="66890620" w14:textId="77777777" w:rsidR="00E313D7" w:rsidRPr="00D87FC5" w:rsidRDefault="00E313D7" w:rsidP="00D80334">
            <w:pPr>
              <w:rPr>
                <w:rFonts w:asciiTheme="minorHAnsi" w:hAnsiTheme="minorHAnsi" w:cs="Times New Roman"/>
                <w:sz w:val="20"/>
                <w:szCs w:val="20"/>
              </w:rPr>
            </w:pPr>
          </w:p>
        </w:tc>
        <w:tc>
          <w:tcPr>
            <w:tcW w:w="3966" w:type="dxa"/>
          </w:tcPr>
          <w:p w14:paraId="31BCDD22" w14:textId="77777777"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Gamma with log link</w:t>
            </w:r>
          </w:p>
        </w:tc>
        <w:tc>
          <w:tcPr>
            <w:tcW w:w="1840" w:type="dxa"/>
          </w:tcPr>
          <w:p w14:paraId="357C1D38" w14:textId="77777777" w:rsidR="00E313D7" w:rsidRPr="00D87FC5" w:rsidRDefault="00E313D7" w:rsidP="00D80334">
            <w:pPr>
              <w:keepNext/>
              <w:rPr>
                <w:rFonts w:asciiTheme="minorHAnsi" w:hAnsiTheme="minorHAnsi" w:cs="Times New Roman"/>
                <w:sz w:val="20"/>
                <w:szCs w:val="20"/>
              </w:rPr>
            </w:pPr>
          </w:p>
        </w:tc>
        <w:tc>
          <w:tcPr>
            <w:tcW w:w="1880" w:type="dxa"/>
          </w:tcPr>
          <w:p w14:paraId="7579CC33" w14:textId="77777777"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w:t>
            </w:r>
          </w:p>
        </w:tc>
      </w:tr>
      <w:tr w:rsidR="00E313D7" w:rsidRPr="00D87FC5" w14:paraId="4307E48E" w14:textId="77777777" w:rsidTr="004C7343">
        <w:trPr>
          <w:jc w:val="center"/>
        </w:trPr>
        <w:tc>
          <w:tcPr>
            <w:tcW w:w="1390" w:type="dxa"/>
          </w:tcPr>
          <w:p w14:paraId="5DFE5A86" w14:textId="77777777"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3966" w:type="dxa"/>
          </w:tcPr>
          <w:p w14:paraId="01E3B4FA" w14:textId="77777777"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Normal</w:t>
            </w:r>
            <w:r>
              <w:rPr>
                <w:rFonts w:asciiTheme="minorHAnsi" w:hAnsiTheme="minorHAnsi" w:cs="Times New Roman"/>
                <w:sz w:val="20"/>
                <w:szCs w:val="20"/>
              </w:rPr>
              <w:t xml:space="preserve"> model</w:t>
            </w:r>
          </w:p>
        </w:tc>
        <w:tc>
          <w:tcPr>
            <w:tcW w:w="1840" w:type="dxa"/>
          </w:tcPr>
          <w:p w14:paraId="17A29CAF" w14:textId="77777777" w:rsidR="00E313D7" w:rsidRPr="00D87FC5" w:rsidRDefault="00E313D7" w:rsidP="00E313D7">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14:paraId="5461B274" w14:textId="77777777" w:rsidR="00E313D7" w:rsidRPr="00D87FC5" w:rsidRDefault="00E313D7" w:rsidP="00E313D7">
            <w:pPr>
              <w:keepNext/>
              <w:rPr>
                <w:rFonts w:asciiTheme="minorHAnsi" w:hAnsiTheme="minorHAnsi" w:cs="Times New Roman"/>
                <w:sz w:val="20"/>
                <w:szCs w:val="20"/>
              </w:rPr>
            </w:pPr>
            <w:r>
              <w:rPr>
                <w:rFonts w:asciiTheme="minorHAnsi" w:hAnsiTheme="minorHAnsi" w:cs="Times New Roman"/>
                <w:sz w:val="20"/>
                <w:szCs w:val="20"/>
              </w:rPr>
              <w:t>*</w:t>
            </w:r>
          </w:p>
        </w:tc>
      </w:tr>
    </w:tbl>
    <w:p w14:paraId="20D80251" w14:textId="77777777" w:rsidR="002C2410" w:rsidRDefault="002C2410" w:rsidP="00C86DCE">
      <w:pPr>
        <w:pStyle w:val="Heading2"/>
      </w:pPr>
      <w:r>
        <w:t>Output</w:t>
      </w:r>
    </w:p>
    <w:p w14:paraId="19DD9207" w14:textId="77777777" w:rsidR="002C2410" w:rsidRDefault="002C2410" w:rsidP="002C2410">
      <w:r w:rsidRPr="002C2410">
        <w:t>This panel shows the power an</w:t>
      </w:r>
      <w:r w:rsidR="00C13C1C">
        <w:t>alysis outputs that are produced</w:t>
      </w:r>
      <w:r w:rsidRPr="002C2410">
        <w:t>. Select an output and press load to set this output as the default output of the project and to view the results.</w:t>
      </w:r>
    </w:p>
    <w:p w14:paraId="6437DDA6" w14:textId="77777777" w:rsidR="00C13C1C" w:rsidRDefault="00C13C1C" w:rsidP="00C13C1C">
      <w:pPr>
        <w:spacing w:after="0"/>
      </w:pPr>
    </w:p>
    <w:p w14:paraId="4E3F119B" w14:textId="77777777" w:rsidR="00327405" w:rsidRPr="002C2410" w:rsidRDefault="00B01EFB" w:rsidP="002C2410">
      <w:r>
        <w:rPr>
          <w:noProof/>
          <w:lang w:eastAsia="en-GB"/>
        </w:rPr>
        <w:drawing>
          <wp:inline distT="0" distB="0" distL="0" distR="0" wp14:anchorId="742F30E5" wp14:editId="5173B029">
            <wp:extent cx="5760720" cy="3263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63755"/>
                    </a:xfrm>
                    <a:prstGeom prst="rect">
                      <a:avLst/>
                    </a:prstGeom>
                  </pic:spPr>
                </pic:pic>
              </a:graphicData>
            </a:graphic>
          </wp:inline>
        </w:drawing>
      </w:r>
    </w:p>
    <w:p w14:paraId="64933B27" w14:textId="77777777" w:rsidR="00C86DCE" w:rsidRDefault="00D044A3" w:rsidP="00C86DCE">
      <w:pPr>
        <w:pStyle w:val="Heading2"/>
      </w:pPr>
      <w:r>
        <w:t>Results per comparison</w:t>
      </w:r>
    </w:p>
    <w:p w14:paraId="7F512AD2" w14:textId="77777777" w:rsidR="00D044A3" w:rsidRDefault="00327405" w:rsidP="00D044A3">
      <w:r>
        <w:t xml:space="preserve">In the </w:t>
      </w:r>
      <w:r w:rsidRPr="00327405">
        <w:rPr>
          <w:i/>
        </w:rPr>
        <w:t>results per comparison tab</w:t>
      </w:r>
      <w:r>
        <w:t xml:space="preserve">, the results of the power analysis </w:t>
      </w:r>
      <w:r w:rsidR="00C13C1C">
        <w:t>are shown</w:t>
      </w:r>
      <w:r>
        <w:t xml:space="preserve"> per endpoint. </w:t>
      </w:r>
      <w:r w:rsidR="00D044A3">
        <w:t xml:space="preserve">Choose endpoint in table. Choose method of analysis if more have been investigated. </w:t>
      </w:r>
      <w:r w:rsidR="00B155D7">
        <w:t>The tab-panel on the right allows you to switch between the charts for the difference test, charts for the equivalence test, a report on the power analysis settings, and a full analysis report for the selected endpoint.</w:t>
      </w:r>
    </w:p>
    <w:p w14:paraId="67E4AA74" w14:textId="77777777" w:rsidR="00327405" w:rsidRDefault="00327405" w:rsidP="00327405">
      <w:pPr>
        <w:spacing w:before="240"/>
      </w:pPr>
      <w:r>
        <w:rPr>
          <w:noProof/>
          <w:lang w:eastAsia="en-GB"/>
        </w:rPr>
        <w:lastRenderedPageBreak/>
        <w:drawing>
          <wp:inline distT="0" distB="0" distL="0" distR="0" wp14:anchorId="5E39EF2E" wp14:editId="6F99B331">
            <wp:extent cx="5760720" cy="370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704720"/>
                    </a:xfrm>
                    <a:prstGeom prst="rect">
                      <a:avLst/>
                    </a:prstGeom>
                  </pic:spPr>
                </pic:pic>
              </a:graphicData>
            </a:graphic>
          </wp:inline>
        </w:drawing>
      </w:r>
    </w:p>
    <w:p w14:paraId="4A6C2132" w14:textId="77777777" w:rsidR="00C86DCE" w:rsidRDefault="00D80334" w:rsidP="00C86DCE">
      <w:pPr>
        <w:pStyle w:val="Heading2"/>
      </w:pPr>
      <w:r>
        <w:t>Combined results</w:t>
      </w:r>
    </w:p>
    <w:p w14:paraId="31425B13" w14:textId="77777777" w:rsidR="00857477" w:rsidRDefault="00D80334" w:rsidP="00D90A01">
      <w:r>
        <w:t xml:space="preserve">The </w:t>
      </w:r>
      <w:r w:rsidRPr="00D80334">
        <w:rPr>
          <w:i/>
        </w:rPr>
        <w:t>combined results</w:t>
      </w:r>
      <w:r>
        <w:t xml:space="preserve"> tab provides an combined view of the results of the power analysis for all endpoints. In the left panel, endpoints may be included or excluded for being part of the combined analysis by checking/unchecking the </w:t>
      </w:r>
      <w:r w:rsidRPr="00D80334">
        <w:rPr>
          <w:i/>
        </w:rPr>
        <w:t>primary</w:t>
      </w:r>
      <w:r>
        <w:t xml:space="preserve"> checkbox.</w:t>
      </w:r>
      <w:r w:rsidR="001E2575">
        <w:t xml:space="preserve"> </w:t>
      </w:r>
      <w:r>
        <w:t xml:space="preserve">The tab panel on the right provides the combined </w:t>
      </w:r>
      <w:r w:rsidR="001E2575">
        <w:t xml:space="preserve">graph of </w:t>
      </w:r>
      <w:r>
        <w:t>the difference test</w:t>
      </w:r>
      <w:r w:rsidR="001E2575">
        <w:t xml:space="preserve"> and</w:t>
      </w:r>
      <w:r>
        <w:t xml:space="preserve"> equivalence</w:t>
      </w:r>
      <w:r w:rsidR="001E2575">
        <w:t>, as well as a full analysis report for all primary endpoints.</w:t>
      </w:r>
      <w:r w:rsidR="00022BD7">
        <w:t xml:space="preserve"> </w:t>
      </w:r>
      <w:r w:rsidR="00D90A01">
        <w:t xml:space="preserve">The combined power analysis is based on the minimum or mean power </w:t>
      </w:r>
      <w:r w:rsidR="00857477">
        <w:t>across the primary comparisons.</w:t>
      </w:r>
    </w:p>
    <w:p w14:paraId="59ACAE8F" w14:textId="77777777" w:rsidR="00D523D1" w:rsidRDefault="00D523D1" w:rsidP="00D523D1">
      <w:r>
        <w:t>The results per endpoint can be combined by s</w:t>
      </w:r>
      <w:r w:rsidRPr="00D523D1">
        <w:t>tandardiz</w:t>
      </w:r>
      <w:r>
        <w:t>ing</w:t>
      </w:r>
      <w:r w:rsidR="008E4477">
        <w:t xml:space="preserve"> differences by scaling to a</w:t>
      </w:r>
      <w:r w:rsidRPr="00D523D1">
        <w:t xml:space="preserve"> no-concern yardstick represent</w:t>
      </w:r>
      <w:r w:rsidR="008E4477">
        <w:t>ing the</w:t>
      </w:r>
      <w:r w:rsidRPr="00D523D1">
        <w:t xml:space="preserve"> minimum limit of potential biological relevance, i.e. the Limit of Concern (LoC)</w:t>
      </w:r>
      <w:r>
        <w:t xml:space="preserve">. This yields the </w:t>
      </w:r>
      <w:r w:rsidR="00D90A01">
        <w:t xml:space="preserve">Concern </w:t>
      </w:r>
      <w:r>
        <w:t>Quotient</w:t>
      </w:r>
      <w:r w:rsidR="00D90A01">
        <w:t xml:space="preserve"> (</w:t>
      </w:r>
      <w:r>
        <w:t>CQ</w:t>
      </w:r>
      <w:r w:rsidR="00D90A01">
        <w:t xml:space="preserve">, </w:t>
      </w:r>
      <w:r>
        <w:t xml:space="preserve">which </w:t>
      </w:r>
      <w:r w:rsidR="00D90A01">
        <w:t xml:space="preserve">equals </w:t>
      </w:r>
      <w:r>
        <w:t xml:space="preserve">0 in case of no difference, and </w:t>
      </w:r>
      <w:r w:rsidR="00D90A01">
        <w:t>1 at the Limit of Concern).</w:t>
      </w:r>
      <w:r>
        <w:t xml:space="preserve"> </w:t>
      </w:r>
    </w:p>
    <w:p w14:paraId="50B188CD" w14:textId="77777777" w:rsidR="00D80334" w:rsidRDefault="00C31B2C" w:rsidP="00D044A3">
      <w:r>
        <w:t>Additionally, it is possible to export an analysis template for a specified number of replicates based on the specified design. This will export a data template that can be used for specifying the actual observations, an additional csv file that specifies the comparison contrasts (used by the analysis scripts), and one main analysis R script file and some additional R script that can be used for running the analysis.</w:t>
      </w:r>
    </w:p>
    <w:p w14:paraId="45DA0D0B" w14:textId="77777777" w:rsidR="001E2575" w:rsidRDefault="00463B3A" w:rsidP="001E2575">
      <w:pPr>
        <w:spacing w:before="240"/>
      </w:pPr>
      <w:r>
        <w:rPr>
          <w:noProof/>
          <w:lang w:eastAsia="en-GB"/>
        </w:rPr>
        <w:lastRenderedPageBreak/>
        <w:drawing>
          <wp:inline distT="0" distB="0" distL="0" distR="0" wp14:anchorId="767C45D3" wp14:editId="188FA691">
            <wp:extent cx="5760720" cy="355466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554669"/>
                    </a:xfrm>
                    <a:prstGeom prst="rect">
                      <a:avLst/>
                    </a:prstGeom>
                  </pic:spPr>
                </pic:pic>
              </a:graphicData>
            </a:graphic>
          </wp:inline>
        </w:drawing>
      </w:r>
    </w:p>
    <w:p w14:paraId="59334067" w14:textId="77777777" w:rsidR="00234EE4" w:rsidRDefault="00234EE4" w:rsidP="00CF0D51">
      <w:pPr>
        <w:pStyle w:val="Heading1"/>
        <w:numPr>
          <w:ilvl w:val="0"/>
          <w:numId w:val="0"/>
        </w:numPr>
        <w:ind w:left="432" w:hanging="432"/>
      </w:pPr>
      <w:r>
        <w:t>References</w:t>
      </w:r>
    </w:p>
    <w:p w14:paraId="1E3A8E5B" w14:textId="77777777" w:rsidR="0043677D" w:rsidRPr="003A6C13" w:rsidRDefault="0043677D" w:rsidP="0052096A">
      <w:pPr>
        <w:spacing w:after="120" w:line="264" w:lineRule="auto"/>
        <w:ind w:left="567" w:hanging="567"/>
        <w:jc w:val="left"/>
      </w:pPr>
      <w:proofErr w:type="spellStart"/>
      <w:r w:rsidRPr="0043677D">
        <w:t>Arpaia</w:t>
      </w:r>
      <w:proofErr w:type="spellEnd"/>
      <w:r w:rsidRPr="0043677D">
        <w:t xml:space="preserve"> S, </w:t>
      </w:r>
      <w:proofErr w:type="spellStart"/>
      <w:r w:rsidRPr="0043677D">
        <w:t>Messéan</w:t>
      </w:r>
      <w:proofErr w:type="spellEnd"/>
      <w:r w:rsidRPr="0043677D">
        <w:t xml:space="preserve"> A, Birch NA, </w:t>
      </w:r>
      <w:proofErr w:type="spellStart"/>
      <w:r w:rsidRPr="0043677D">
        <w:t>Hokannen</w:t>
      </w:r>
      <w:proofErr w:type="spellEnd"/>
      <w:r w:rsidRPr="0043677D">
        <w:t xml:space="preserve"> H, </w:t>
      </w:r>
      <w:proofErr w:type="spellStart"/>
      <w:r w:rsidRPr="0043677D">
        <w:t>Härtel</w:t>
      </w:r>
      <w:proofErr w:type="spellEnd"/>
      <w:r w:rsidRPr="0043677D">
        <w:t xml:space="preserve"> S, van Loon J, </w:t>
      </w:r>
      <w:proofErr w:type="spellStart"/>
      <w:r w:rsidRPr="0043677D">
        <w:t>Lovei</w:t>
      </w:r>
      <w:proofErr w:type="spellEnd"/>
      <w:r w:rsidRPr="0043677D">
        <w:t xml:space="preserve"> G, Park J, </w:t>
      </w:r>
      <w:proofErr w:type="spellStart"/>
      <w:r w:rsidRPr="0043677D">
        <w:t>Spreafico</w:t>
      </w:r>
      <w:proofErr w:type="spellEnd"/>
      <w:r w:rsidRPr="0043677D">
        <w:t xml:space="preserve"> H, Squire GR, </w:t>
      </w:r>
      <w:proofErr w:type="spellStart"/>
      <w:r w:rsidRPr="0043677D">
        <w:t>Steffan-Dewenter</w:t>
      </w:r>
      <w:proofErr w:type="spellEnd"/>
      <w:r w:rsidRPr="0043677D">
        <w:t xml:space="preserve"> I, </w:t>
      </w:r>
      <w:proofErr w:type="spellStart"/>
      <w:r w:rsidRPr="0043677D">
        <w:t>Tebbe</w:t>
      </w:r>
      <w:proofErr w:type="spellEnd"/>
      <w:r w:rsidRPr="0043677D">
        <w:t xml:space="preserve"> C, van der Voet H (2014). Assessing and monitoring impacts of genetically modified plants on agro-ecosystems: the approach of AMIGA. </w:t>
      </w:r>
      <w:proofErr w:type="spellStart"/>
      <w:r w:rsidRPr="003A6C13">
        <w:t>Entomologia</w:t>
      </w:r>
      <w:proofErr w:type="spellEnd"/>
      <w:r w:rsidRPr="003A6C13">
        <w:t>, 2: 154, 79-86.</w:t>
      </w:r>
    </w:p>
    <w:p w14:paraId="4773F1DB" w14:textId="77777777" w:rsidR="00234EE4" w:rsidRPr="00234EE4" w:rsidRDefault="00234EE4" w:rsidP="0052096A">
      <w:pPr>
        <w:spacing w:after="120" w:line="264" w:lineRule="auto"/>
        <w:ind w:left="567" w:hanging="567"/>
        <w:jc w:val="left"/>
        <w:rPr>
          <w:lang w:val="nl-NL"/>
        </w:rPr>
      </w:pPr>
      <w:r w:rsidRPr="00025238">
        <w:t xml:space="preserve">EFSA (2010). EFSA Panel on Genetically Modified Organisms (GMO). Guidance on the environmental risk assessment of genetically modified plants. </w:t>
      </w:r>
      <w:r w:rsidRPr="00234EE4">
        <w:rPr>
          <w:lang w:val="nl-NL"/>
        </w:rPr>
        <w:t>EFSA Journal, 8(11): 1879. [111 pp.], doi:10.2903/j.efsa.2010.1879.</w:t>
      </w:r>
    </w:p>
    <w:p w14:paraId="46122C42" w14:textId="77777777" w:rsidR="00234EE4" w:rsidRPr="0043677D" w:rsidRDefault="00234EE4" w:rsidP="0052096A">
      <w:pPr>
        <w:spacing w:after="120" w:line="264" w:lineRule="auto"/>
        <w:ind w:left="567" w:hanging="567"/>
        <w:jc w:val="left"/>
        <w:rPr>
          <w:lang w:val="nl-NL"/>
        </w:rPr>
      </w:pPr>
      <w:r w:rsidRPr="00BD6C57">
        <w:rPr>
          <w:lang w:val="nl-NL"/>
        </w:rPr>
        <w:t xml:space="preserve">Goedhart PW, </w:t>
      </w:r>
      <w:r w:rsidR="0043677D">
        <w:rPr>
          <w:lang w:val="nl-NL"/>
        </w:rPr>
        <w:t>v</w:t>
      </w:r>
      <w:r w:rsidRPr="00BD6C57">
        <w:rPr>
          <w:lang w:val="nl-NL"/>
        </w:rPr>
        <w:t xml:space="preserve">an der Voet H, Baldacchino F &amp; </w:t>
      </w:r>
      <w:proofErr w:type="spellStart"/>
      <w:r w:rsidRPr="00BD6C57">
        <w:rPr>
          <w:lang w:val="nl-NL"/>
        </w:rPr>
        <w:t>Arpaia</w:t>
      </w:r>
      <w:proofErr w:type="spellEnd"/>
      <w:r w:rsidRPr="00BD6C57">
        <w:rPr>
          <w:lang w:val="nl-NL"/>
        </w:rPr>
        <w:t xml:space="preserve"> S (2013). </w:t>
      </w:r>
      <w:r>
        <w:t xml:space="preserve">Environmental Risk Assessment of Genetically Modified Organisms: Overview of field studies, examples of datasets, statistical models and a simulation tool. </w:t>
      </w:r>
      <w:r w:rsidRPr="0043677D">
        <w:rPr>
          <w:lang w:val="nl-NL"/>
        </w:rPr>
        <w:t>Deliverable 9.1, AMIGA project,</w:t>
      </w:r>
      <w:r w:rsidR="0052096A" w:rsidRPr="0043677D">
        <w:rPr>
          <w:lang w:val="nl-NL"/>
        </w:rPr>
        <w:t xml:space="preserve"> </w:t>
      </w:r>
      <w:hyperlink r:id="rId25" w:history="1">
        <w:r w:rsidR="0052096A" w:rsidRPr="0043677D">
          <w:rPr>
            <w:rStyle w:val="Hyperlink"/>
            <w:lang w:val="nl-NL"/>
          </w:rPr>
          <w:t>http://www.amigaproject.eu/?attachment_id=1801</w:t>
        </w:r>
      </w:hyperlink>
      <w:r w:rsidR="0052096A" w:rsidRPr="0043677D">
        <w:rPr>
          <w:lang w:val="nl-NL"/>
        </w:rPr>
        <w:t>.</w:t>
      </w:r>
    </w:p>
    <w:p w14:paraId="4238C7AD" w14:textId="77777777" w:rsidR="00005806" w:rsidRPr="009C6B4D" w:rsidRDefault="00005806" w:rsidP="0052096A">
      <w:pPr>
        <w:spacing w:after="120" w:line="264" w:lineRule="auto"/>
        <w:ind w:left="567" w:hanging="567"/>
        <w:jc w:val="left"/>
        <w:rPr>
          <w:rFonts w:ascii="Times New Roman" w:hAnsi="Times New Roman"/>
        </w:rPr>
      </w:pPr>
      <w:r w:rsidRPr="0043677D">
        <w:rPr>
          <w:lang w:val="nl-NL"/>
        </w:rPr>
        <w:t xml:space="preserve">Goedhart PW, </w:t>
      </w:r>
      <w:r w:rsidR="0043677D">
        <w:rPr>
          <w:lang w:val="nl-NL"/>
        </w:rPr>
        <w:t>v</w:t>
      </w:r>
      <w:r w:rsidRPr="0043677D">
        <w:rPr>
          <w:lang w:val="nl-NL"/>
        </w:rPr>
        <w:t xml:space="preserve">an der Voet H, Baldacchino F &amp; </w:t>
      </w:r>
      <w:proofErr w:type="spellStart"/>
      <w:r w:rsidRPr="0043677D">
        <w:rPr>
          <w:lang w:val="nl-NL"/>
        </w:rPr>
        <w:t>Arpaia</w:t>
      </w:r>
      <w:proofErr w:type="spellEnd"/>
      <w:r w:rsidRPr="0043677D">
        <w:rPr>
          <w:lang w:val="nl-NL"/>
        </w:rPr>
        <w:t xml:space="preserve"> S (2014). </w:t>
      </w:r>
      <w:r w:rsidRPr="00005806">
        <w:t xml:space="preserve">A statistical simulation model for field testing of non-target organisms in environmental risk assessment of genetically modified plants. </w:t>
      </w:r>
      <w:r w:rsidRPr="009C6B4D">
        <w:t xml:space="preserve">Ecology and Evolution. </w:t>
      </w:r>
      <w:r w:rsidRPr="009C6B4D">
        <w:rPr>
          <w:rFonts w:ascii="Times New Roman" w:hAnsi="Times New Roman"/>
        </w:rPr>
        <w:t>4: 1267–1283</w:t>
      </w:r>
      <w:r w:rsidR="00710562">
        <w:rPr>
          <w:rFonts w:ascii="Times New Roman" w:hAnsi="Times New Roman"/>
        </w:rPr>
        <w:t>.</w:t>
      </w:r>
    </w:p>
    <w:p w14:paraId="175120AD" w14:textId="77777777" w:rsidR="00234EE4" w:rsidRPr="00B05D41" w:rsidRDefault="00234EE4" w:rsidP="0052096A">
      <w:pPr>
        <w:spacing w:after="120" w:line="264" w:lineRule="auto"/>
        <w:ind w:left="567" w:hanging="567"/>
        <w:jc w:val="left"/>
        <w:rPr>
          <w:lang w:val="nl-NL"/>
        </w:rPr>
      </w:pPr>
      <w:r w:rsidRPr="00025238">
        <w:t xml:space="preserve">Lyles RH, Lin H-M &amp; Williamson JM (2007). A practical approach to computing power for generalized linear models with nominal, count, or ordinal responses. </w:t>
      </w:r>
      <w:proofErr w:type="spellStart"/>
      <w:r w:rsidRPr="00B05D41">
        <w:rPr>
          <w:lang w:val="nl-NL"/>
        </w:rPr>
        <w:t>Statistics</w:t>
      </w:r>
      <w:proofErr w:type="spellEnd"/>
      <w:r w:rsidRPr="00B05D41">
        <w:rPr>
          <w:lang w:val="nl-NL"/>
        </w:rPr>
        <w:t xml:space="preserve"> In </w:t>
      </w:r>
      <w:proofErr w:type="spellStart"/>
      <w:r w:rsidRPr="00B05D41">
        <w:rPr>
          <w:lang w:val="nl-NL"/>
        </w:rPr>
        <w:t>Medicine</w:t>
      </w:r>
      <w:proofErr w:type="spellEnd"/>
      <w:r w:rsidRPr="00B05D41">
        <w:rPr>
          <w:lang w:val="nl-NL"/>
        </w:rPr>
        <w:t>, 26(7): 1632-1648.</w:t>
      </w:r>
    </w:p>
    <w:p w14:paraId="1E5F44BF" w14:textId="77777777" w:rsidR="00234EE4" w:rsidRDefault="00234EE4" w:rsidP="0052096A">
      <w:pPr>
        <w:spacing w:after="120" w:line="264" w:lineRule="auto"/>
        <w:ind w:left="567" w:hanging="567"/>
        <w:jc w:val="left"/>
      </w:pPr>
      <w:r w:rsidRPr="00B05D41">
        <w:rPr>
          <w:lang w:val="nl-NL"/>
        </w:rPr>
        <w:t xml:space="preserve">Perry JN, ter Braak CJF, Dixon PM, </w:t>
      </w:r>
      <w:proofErr w:type="spellStart"/>
      <w:r w:rsidRPr="00B05D41">
        <w:rPr>
          <w:lang w:val="nl-NL"/>
        </w:rPr>
        <w:t>Duan</w:t>
      </w:r>
      <w:proofErr w:type="spellEnd"/>
      <w:r w:rsidRPr="00B05D41">
        <w:rPr>
          <w:lang w:val="nl-NL"/>
        </w:rPr>
        <w:t xml:space="preserve"> JJ, </w:t>
      </w:r>
      <w:proofErr w:type="spellStart"/>
      <w:r w:rsidRPr="00B05D41">
        <w:rPr>
          <w:lang w:val="nl-NL"/>
        </w:rPr>
        <w:t>Hails</w:t>
      </w:r>
      <w:proofErr w:type="spellEnd"/>
      <w:r w:rsidRPr="00B05D41">
        <w:rPr>
          <w:lang w:val="nl-NL"/>
        </w:rPr>
        <w:t xml:space="preserve"> RS, </w:t>
      </w:r>
      <w:proofErr w:type="spellStart"/>
      <w:r w:rsidRPr="00B05D41">
        <w:rPr>
          <w:lang w:val="nl-NL"/>
        </w:rPr>
        <w:t>Huesken</w:t>
      </w:r>
      <w:proofErr w:type="spellEnd"/>
      <w:r w:rsidRPr="00B05D41">
        <w:rPr>
          <w:lang w:val="nl-NL"/>
        </w:rPr>
        <w:t xml:space="preserve"> A, </w:t>
      </w:r>
      <w:proofErr w:type="spellStart"/>
      <w:r w:rsidRPr="00B05D41">
        <w:rPr>
          <w:lang w:val="nl-NL"/>
        </w:rPr>
        <w:t>Lavielle</w:t>
      </w:r>
      <w:proofErr w:type="spellEnd"/>
      <w:r w:rsidRPr="00B05D41">
        <w:rPr>
          <w:lang w:val="nl-NL"/>
        </w:rPr>
        <w:t xml:space="preserve"> M, </w:t>
      </w:r>
      <w:proofErr w:type="spellStart"/>
      <w:r w:rsidRPr="00B05D41">
        <w:rPr>
          <w:lang w:val="nl-NL"/>
        </w:rPr>
        <w:t>Marvier</w:t>
      </w:r>
      <w:proofErr w:type="spellEnd"/>
      <w:r w:rsidRPr="00B05D41">
        <w:rPr>
          <w:lang w:val="nl-NL"/>
        </w:rPr>
        <w:t xml:space="preserve"> M, </w:t>
      </w:r>
      <w:proofErr w:type="spellStart"/>
      <w:r w:rsidRPr="00B05D41">
        <w:rPr>
          <w:lang w:val="nl-NL"/>
        </w:rPr>
        <w:t>Scardi</w:t>
      </w:r>
      <w:proofErr w:type="spellEnd"/>
      <w:r w:rsidRPr="00B05D41">
        <w:rPr>
          <w:lang w:val="nl-NL"/>
        </w:rPr>
        <w:t xml:space="preserve"> M, Schmidt K, </w:t>
      </w:r>
      <w:proofErr w:type="spellStart"/>
      <w:r w:rsidRPr="00B05D41">
        <w:rPr>
          <w:lang w:val="nl-NL"/>
        </w:rPr>
        <w:t>Tothmeresz</w:t>
      </w:r>
      <w:proofErr w:type="spellEnd"/>
      <w:r w:rsidRPr="00B05D41">
        <w:rPr>
          <w:lang w:val="nl-NL"/>
        </w:rPr>
        <w:t xml:space="preserve"> B, </w:t>
      </w:r>
      <w:proofErr w:type="spellStart"/>
      <w:r w:rsidRPr="00B05D41">
        <w:rPr>
          <w:lang w:val="nl-NL"/>
        </w:rPr>
        <w:t>Schaarschmidt</w:t>
      </w:r>
      <w:proofErr w:type="spellEnd"/>
      <w:r w:rsidRPr="00B05D41">
        <w:rPr>
          <w:lang w:val="nl-NL"/>
        </w:rPr>
        <w:t xml:space="preserve"> F &amp; van der Voet H (2009). </w:t>
      </w:r>
      <w:r w:rsidRPr="00025238">
        <w:t>Statistical aspects of environmental risk assessment of GM plants for effects on non</w:t>
      </w:r>
      <w:r w:rsidRPr="00025238">
        <w:noBreakHyphen/>
        <w:t>target organisms. Environmental Biosafety Research, 8: 65</w:t>
      </w:r>
      <w:r w:rsidRPr="00025238">
        <w:noBreakHyphen/>
        <w:t>78.</w:t>
      </w:r>
    </w:p>
    <w:p w14:paraId="47DD1A32" w14:textId="77777777" w:rsidR="00A07AF6" w:rsidRPr="00A07AF6" w:rsidRDefault="00A07AF6" w:rsidP="00A07AF6">
      <w:pPr>
        <w:spacing w:after="120" w:line="264" w:lineRule="auto"/>
        <w:ind w:left="567" w:hanging="567"/>
        <w:jc w:val="left"/>
      </w:pPr>
      <w:proofErr w:type="spellStart"/>
      <w:r>
        <w:lastRenderedPageBreak/>
        <w:t>Schuirmann</w:t>
      </w:r>
      <w:proofErr w:type="spellEnd"/>
      <w:r>
        <w:t xml:space="preserve"> DJ (1987). A comparison of the two one</w:t>
      </w:r>
      <w:r>
        <w:noBreakHyphen/>
        <w:t xml:space="preserve">sided tests procedure and the power approach for assessing the equivalence of average bioavailability. </w:t>
      </w:r>
      <w:r w:rsidRPr="00025238">
        <w:t>Journal of Pharmacokinetics and Biopharmaceutics</w:t>
      </w:r>
      <w:r>
        <w:t>, 15(6): 657</w:t>
      </w:r>
      <w:r>
        <w:noBreakHyphen/>
        <w:t>680.</w:t>
      </w:r>
      <w:r w:rsidRPr="00137411">
        <w:t xml:space="preserve"> </w:t>
      </w:r>
    </w:p>
    <w:p w14:paraId="0842BC98" w14:textId="77777777" w:rsidR="00A07AF6" w:rsidRDefault="0043677D" w:rsidP="0052096A">
      <w:pPr>
        <w:spacing w:after="120" w:line="264" w:lineRule="auto"/>
        <w:ind w:left="567" w:hanging="567"/>
        <w:jc w:val="left"/>
      </w:pPr>
      <w:r w:rsidRPr="003A6C13">
        <w:t>v</w:t>
      </w:r>
      <w:r w:rsidR="00A07AF6" w:rsidRPr="003A6C13">
        <w:t xml:space="preserve">an der Voet H &amp; Goedhart PW (2015). </w:t>
      </w:r>
      <w:r w:rsidR="00A07AF6" w:rsidRPr="00A07AF6">
        <w:t>Environmental Risk Assessment of Genetically Modified Organisms: Statistical aspects of a protocol for single</w:t>
      </w:r>
      <w:r w:rsidR="00A07AF6">
        <w:t xml:space="preserve"> </w:t>
      </w:r>
      <w:r w:rsidR="00A07AF6" w:rsidRPr="00A07AF6">
        <w:t xml:space="preserve">environment GMO field studies. Deliverable 9.2a, AMIGA project, </w:t>
      </w:r>
      <w:hyperlink r:id="rId26" w:history="1">
        <w:r w:rsidR="00A07AF6" w:rsidRPr="001B2F84">
          <w:rPr>
            <w:rStyle w:val="Hyperlink"/>
          </w:rPr>
          <w:t>http://www.amigaproject.eu/?attachment_id=2117</w:t>
        </w:r>
      </w:hyperlink>
      <w:r w:rsidR="00A07AF6">
        <w:t>.</w:t>
      </w:r>
    </w:p>
    <w:p w14:paraId="0349D130" w14:textId="77777777" w:rsidR="00710562" w:rsidRPr="00710562" w:rsidRDefault="0043677D" w:rsidP="0052096A">
      <w:pPr>
        <w:spacing w:after="120" w:line="264" w:lineRule="auto"/>
        <w:ind w:left="567" w:hanging="567"/>
        <w:jc w:val="left"/>
      </w:pPr>
      <w:r>
        <w:rPr>
          <w:lang w:val="nl-NL"/>
        </w:rPr>
        <w:t>v</w:t>
      </w:r>
      <w:r w:rsidR="00710562" w:rsidRPr="00A07AF6">
        <w:rPr>
          <w:lang w:val="nl-NL"/>
        </w:rPr>
        <w:t xml:space="preserve">an der Voet H &amp; Goedhart PW (2015). </w:t>
      </w:r>
      <w:r w:rsidR="00710562" w:rsidRPr="00710562">
        <w:t xml:space="preserve">The power of statistical tests using field trial count data of nontarget organisms in environmental risk assessment of genetically modified plants. </w:t>
      </w:r>
      <w:r w:rsidR="00710562">
        <w:t>Agricultural and Forest Ent</w:t>
      </w:r>
      <w:r w:rsidR="0052096A">
        <w:t>o</w:t>
      </w:r>
      <w:r w:rsidR="00710562">
        <w:t>mology, 17: 164-172.</w:t>
      </w:r>
    </w:p>
    <w:sectPr w:rsidR="00710562" w:rsidRPr="00710562" w:rsidSect="00AE2A1D">
      <w:headerReference w:type="default" r:id="rId27"/>
      <w:footerReference w:type="default" r:id="rId28"/>
      <w:footerReference w:type="firs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55089" w14:textId="77777777" w:rsidR="00E23103" w:rsidRDefault="00E23103" w:rsidP="00722E05">
      <w:pPr>
        <w:spacing w:after="0"/>
      </w:pPr>
      <w:r>
        <w:separator/>
      </w:r>
    </w:p>
  </w:endnote>
  <w:endnote w:type="continuationSeparator" w:id="0">
    <w:p w14:paraId="1AE167CF" w14:textId="77777777" w:rsidR="00E23103" w:rsidRDefault="00E23103" w:rsidP="00722E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5C4D1" w14:textId="77777777" w:rsidR="00D80334" w:rsidRPr="00047861" w:rsidRDefault="00D80334" w:rsidP="00D80334">
    <w:pPr>
      <w:pBdr>
        <w:top w:val="single" w:sz="4" w:space="1" w:color="000000" w:themeColor="text2"/>
      </w:pBdr>
      <w:rPr>
        <w:rStyle w:val="IntenseReference"/>
        <w:b w:val="0"/>
        <w:u w:val="none"/>
      </w:rPr>
    </w:pPr>
    <w:r w:rsidRPr="00B155D7">
      <w:rPr>
        <w:rStyle w:val="IntenseReference"/>
        <w:b w:val="0"/>
        <w:noProof/>
        <w:sz w:val="22"/>
        <w:u w:val="none"/>
        <w:lang w:eastAsia="en-GB"/>
      </w:rPr>
      <w:drawing>
        <wp:anchor distT="0" distB="0" distL="114300" distR="114300" simplePos="0" relativeHeight="251659264" behindDoc="0" locked="0" layoutInCell="1" allowOverlap="1" wp14:anchorId="4556BADC" wp14:editId="2B4B645D">
          <wp:simplePos x="0" y="0"/>
          <wp:positionH relativeFrom="column">
            <wp:posOffset>4058285</wp:posOffset>
          </wp:positionH>
          <wp:positionV relativeFrom="paragraph">
            <wp:posOffset>62865</wp:posOffset>
          </wp:positionV>
          <wp:extent cx="1607820" cy="2609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B155D7">
      <w:rPr>
        <w:rStyle w:val="IntenseReference"/>
        <w:b w:val="0"/>
        <w:sz w:val="22"/>
        <w:u w:val="none"/>
      </w:rPr>
      <w:t>Biometris, Wageningen University and Research</w:t>
    </w:r>
    <w:r w:rsidRPr="00047861">
      <w:rPr>
        <w:rStyle w:val="IntenseReference"/>
        <w:b w:val="0"/>
        <w:u w:val="none"/>
      </w:rPr>
      <w:tab/>
    </w:r>
    <w:r w:rsidRPr="00047861">
      <w:rPr>
        <w:rStyle w:val="IntenseReference"/>
        <w:b w:val="0"/>
        <w:u w:val="none"/>
      </w:rPr>
      <w:tab/>
    </w:r>
    <w:r w:rsidRPr="00047861">
      <w:rPr>
        <w:rStyle w:val="IntenseReference"/>
        <w:b w:val="0"/>
        <w:u w:val="none"/>
      </w:rPr>
      <w:tab/>
    </w:r>
    <w:r w:rsidRPr="00047861">
      <w:rPr>
        <w:rStyle w:val="IntenseReference"/>
        <w:b w:val="0"/>
        <w:u w:val="none"/>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9D30" w14:textId="77777777" w:rsidR="00D80334" w:rsidRPr="0074529B" w:rsidRDefault="00D80334" w:rsidP="0074529B">
    <w:pPr>
      <w:pBdr>
        <w:top w:val="single" w:sz="4" w:space="1" w:color="000000" w:themeColor="text2"/>
      </w:pBdr>
    </w:pPr>
    <w:r w:rsidRPr="001002EC">
      <w:rPr>
        <w:rStyle w:val="IntenseReference"/>
        <w:b w:val="0"/>
        <w:noProof/>
        <w:sz w:val="22"/>
        <w:u w:val="none"/>
        <w:lang w:eastAsia="en-GB"/>
      </w:rPr>
      <w:drawing>
        <wp:anchor distT="0" distB="0" distL="114300" distR="114300" simplePos="0" relativeHeight="251661312" behindDoc="0" locked="0" layoutInCell="1" allowOverlap="1" wp14:anchorId="0656007B" wp14:editId="2C5D271B">
          <wp:simplePos x="0" y="0"/>
          <wp:positionH relativeFrom="column">
            <wp:posOffset>4058285</wp:posOffset>
          </wp:positionH>
          <wp:positionV relativeFrom="paragraph">
            <wp:posOffset>62865</wp:posOffset>
          </wp:positionV>
          <wp:extent cx="1607820" cy="2609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1002EC">
      <w:rPr>
        <w:rStyle w:val="IntenseReference"/>
        <w:b w:val="0"/>
        <w:sz w:val="22"/>
        <w:u w:val="none"/>
      </w:rPr>
      <w:t>Biometris, Wageningen University and Research</w:t>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47242" w14:textId="77777777" w:rsidR="00E23103" w:rsidRDefault="00E23103" w:rsidP="00722E05">
      <w:pPr>
        <w:spacing w:after="0"/>
      </w:pPr>
      <w:r>
        <w:separator/>
      </w:r>
    </w:p>
  </w:footnote>
  <w:footnote w:type="continuationSeparator" w:id="0">
    <w:p w14:paraId="59937F86" w14:textId="77777777" w:rsidR="00E23103" w:rsidRDefault="00E23103" w:rsidP="00722E05">
      <w:pPr>
        <w:spacing w:after="0"/>
      </w:pPr>
      <w:r>
        <w:continuationSeparator/>
      </w:r>
    </w:p>
  </w:footnote>
  <w:footnote w:id="1">
    <w:p w14:paraId="0CB20809" w14:textId="77777777" w:rsidR="00C13C1C" w:rsidRPr="00C13C1C" w:rsidRDefault="00C13C1C">
      <w:pPr>
        <w:pStyle w:val="FootnoteText"/>
        <w:rPr>
          <w:lang w:val="nl-NL"/>
        </w:rPr>
      </w:pPr>
      <w:r>
        <w:rPr>
          <w:rStyle w:val="FootnoteReference"/>
        </w:rPr>
        <w:footnoteRef/>
      </w:r>
      <w:r w:rsidRPr="00C13C1C">
        <w:rPr>
          <w:lang w:val="nl-NL"/>
        </w:rPr>
        <w:t xml:space="preserve"> </w:t>
      </w:r>
      <w:r>
        <w:rPr>
          <w:lang w:val="nl-NL"/>
        </w:rPr>
        <w:t xml:space="preserve">Recommendations </w:t>
      </w:r>
      <w:r w:rsidRPr="00C13C1C">
        <w:rPr>
          <w:lang w:val="nl-NL"/>
        </w:rPr>
        <w:t>according to AMIGA protocol, see van der Voet &amp; Goedhart (201</w:t>
      </w:r>
      <w:r w:rsidR="00187EA2">
        <w:rPr>
          <w:lang w:val="nl-NL"/>
        </w:rPr>
        <w:t>4</w:t>
      </w:r>
      <w:r w:rsidRPr="00C13C1C">
        <w:rPr>
          <w:lang w:val="nl-N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01574" w14:textId="77777777" w:rsidR="00D80334" w:rsidRPr="001002EC" w:rsidRDefault="00D80334" w:rsidP="00D80334">
    <w:pPr>
      <w:pStyle w:val="HeaderOdd"/>
      <w:pBdr>
        <w:bottom w:val="single" w:sz="4" w:space="1" w:color="000000" w:themeColor="text2"/>
      </w:pBdr>
      <w:rPr>
        <w:color w:val="auto"/>
        <w:sz w:val="22"/>
        <w:szCs w:val="22"/>
      </w:rPr>
    </w:pPr>
    <w:r w:rsidRPr="001002EC">
      <w:rPr>
        <w:rStyle w:val="IntenseReference"/>
        <w:color w:val="auto"/>
        <w:sz w:val="22"/>
        <w:szCs w:val="22"/>
        <w:u w:val="none"/>
      </w:rPr>
      <w:t>Amiga Power Analysis User Manual</w:t>
    </w:r>
    <w:r w:rsidRPr="001002EC">
      <w:rPr>
        <w:color w:val="auto"/>
        <w:sz w:val="22"/>
        <w:szCs w:val="22"/>
      </w:rPr>
      <w:ptab w:relativeTo="margin" w:alignment="center" w:leader="none"/>
    </w:r>
    <w:r w:rsidRPr="001002EC">
      <w:rPr>
        <w:color w:val="auto"/>
        <w:sz w:val="22"/>
        <w:szCs w:val="22"/>
      </w:rPr>
      <w:ptab w:relativeTo="margin" w:alignment="right" w:leader="none"/>
    </w:r>
    <w:r w:rsidRPr="001002EC">
      <w:rPr>
        <w:color w:val="auto"/>
        <w:sz w:val="22"/>
        <w:szCs w:val="22"/>
      </w:rPr>
      <w:t xml:space="preserve"> </w:t>
    </w:r>
    <w:r w:rsidRPr="001002EC">
      <w:rPr>
        <w:rStyle w:val="IntenseReference"/>
        <w:color w:val="auto"/>
        <w:sz w:val="22"/>
        <w:szCs w:val="22"/>
        <w:u w:val="none"/>
      </w:rPr>
      <w:t xml:space="preserve">Page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PAGE   \* MERGEFORMAT </w:instrText>
    </w:r>
    <w:r w:rsidRPr="001002EC">
      <w:rPr>
        <w:rStyle w:val="IntenseReference"/>
        <w:color w:val="auto"/>
        <w:sz w:val="22"/>
        <w:szCs w:val="22"/>
        <w:u w:val="none"/>
      </w:rPr>
      <w:fldChar w:fldCharType="separate"/>
    </w:r>
    <w:r w:rsidR="00271583">
      <w:rPr>
        <w:rStyle w:val="IntenseReference"/>
        <w:noProof/>
        <w:color w:val="auto"/>
        <w:sz w:val="22"/>
        <w:szCs w:val="22"/>
        <w:u w:val="none"/>
      </w:rPr>
      <w:t>9</w:t>
    </w:r>
    <w:r w:rsidRPr="001002EC">
      <w:rPr>
        <w:rStyle w:val="IntenseReference"/>
        <w:color w:val="auto"/>
        <w:sz w:val="22"/>
        <w:szCs w:val="22"/>
        <w:u w:val="none"/>
      </w:rPr>
      <w:fldChar w:fldCharType="end"/>
    </w:r>
    <w:r w:rsidRPr="001002EC">
      <w:rPr>
        <w:rStyle w:val="IntenseReference"/>
        <w:color w:val="auto"/>
        <w:sz w:val="22"/>
        <w:szCs w:val="22"/>
        <w:u w:val="none"/>
      </w:rPr>
      <w:t xml:space="preserve"> /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NUMPAGES   \* MERGEFORMAT </w:instrText>
    </w:r>
    <w:r w:rsidRPr="001002EC">
      <w:rPr>
        <w:rStyle w:val="IntenseReference"/>
        <w:color w:val="auto"/>
        <w:sz w:val="22"/>
        <w:szCs w:val="22"/>
        <w:u w:val="none"/>
      </w:rPr>
      <w:fldChar w:fldCharType="separate"/>
    </w:r>
    <w:r w:rsidR="00271583">
      <w:rPr>
        <w:rStyle w:val="IntenseReference"/>
        <w:noProof/>
        <w:color w:val="auto"/>
        <w:sz w:val="22"/>
        <w:szCs w:val="22"/>
        <w:u w:val="none"/>
      </w:rPr>
      <w:t>13</w:t>
    </w:r>
    <w:r w:rsidRPr="001002EC">
      <w:rPr>
        <w:rStyle w:val="IntenseReference"/>
        <w:color w:val="auto"/>
        <w:sz w:val="22"/>
        <w:szCs w:val="22"/>
        <w:u w:val="non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07902"/>
    <w:multiLevelType w:val="hybridMultilevel"/>
    <w:tmpl w:val="3EE8B0C6"/>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5DD78EF"/>
    <w:multiLevelType w:val="hybridMultilevel"/>
    <w:tmpl w:val="527CCBA2"/>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4020B4E"/>
    <w:multiLevelType w:val="hybridMultilevel"/>
    <w:tmpl w:val="DC74D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D6205D"/>
    <w:multiLevelType w:val="hybridMultilevel"/>
    <w:tmpl w:val="35C2CDCA"/>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E3A7775"/>
    <w:multiLevelType w:val="hybridMultilevel"/>
    <w:tmpl w:val="2E4C9CA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5827C33"/>
    <w:multiLevelType w:val="hybridMultilevel"/>
    <w:tmpl w:val="0E52DF8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085760F"/>
    <w:multiLevelType w:val="hybridMultilevel"/>
    <w:tmpl w:val="C86A3B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94C18B3"/>
    <w:multiLevelType w:val="hybridMultilevel"/>
    <w:tmpl w:val="641E34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B693179"/>
    <w:multiLevelType w:val="multilevel"/>
    <w:tmpl w:val="659C73F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num w:numId="1" w16cid:durableId="719288275">
    <w:abstractNumId w:val="8"/>
  </w:num>
  <w:num w:numId="2" w16cid:durableId="402945039">
    <w:abstractNumId w:val="8"/>
  </w:num>
  <w:num w:numId="3" w16cid:durableId="1804545073">
    <w:abstractNumId w:val="8"/>
  </w:num>
  <w:num w:numId="4" w16cid:durableId="602111898">
    <w:abstractNumId w:val="8"/>
  </w:num>
  <w:num w:numId="5" w16cid:durableId="1859849340">
    <w:abstractNumId w:val="8"/>
  </w:num>
  <w:num w:numId="6" w16cid:durableId="318117714">
    <w:abstractNumId w:val="8"/>
  </w:num>
  <w:num w:numId="7" w16cid:durableId="595360006">
    <w:abstractNumId w:val="8"/>
  </w:num>
  <w:num w:numId="8" w16cid:durableId="591939367">
    <w:abstractNumId w:val="8"/>
  </w:num>
  <w:num w:numId="9" w16cid:durableId="801071233">
    <w:abstractNumId w:val="8"/>
  </w:num>
  <w:num w:numId="10" w16cid:durableId="924534943">
    <w:abstractNumId w:val="8"/>
  </w:num>
  <w:num w:numId="11" w16cid:durableId="242186661">
    <w:abstractNumId w:val="0"/>
  </w:num>
  <w:num w:numId="12" w16cid:durableId="2119371882">
    <w:abstractNumId w:val="5"/>
  </w:num>
  <w:num w:numId="13" w16cid:durableId="2113015899">
    <w:abstractNumId w:val="1"/>
  </w:num>
  <w:num w:numId="14" w16cid:durableId="2132943157">
    <w:abstractNumId w:val="4"/>
  </w:num>
  <w:num w:numId="15" w16cid:durableId="618682589">
    <w:abstractNumId w:val="3"/>
  </w:num>
  <w:num w:numId="16" w16cid:durableId="1806585474">
    <w:abstractNumId w:val="8"/>
  </w:num>
  <w:num w:numId="17" w16cid:durableId="2097824726">
    <w:abstractNumId w:val="8"/>
  </w:num>
  <w:num w:numId="18" w16cid:durableId="1469083735">
    <w:abstractNumId w:val="8"/>
  </w:num>
  <w:num w:numId="19" w16cid:durableId="194656975">
    <w:abstractNumId w:val="8"/>
  </w:num>
  <w:num w:numId="20" w16cid:durableId="1764835469">
    <w:abstractNumId w:val="8"/>
  </w:num>
  <w:num w:numId="21" w16cid:durableId="1526824565">
    <w:abstractNumId w:val="8"/>
  </w:num>
  <w:num w:numId="22" w16cid:durableId="1606420609">
    <w:abstractNumId w:val="8"/>
  </w:num>
  <w:num w:numId="23" w16cid:durableId="646084723">
    <w:abstractNumId w:val="8"/>
  </w:num>
  <w:num w:numId="24" w16cid:durableId="918908602">
    <w:abstractNumId w:val="8"/>
  </w:num>
  <w:num w:numId="25" w16cid:durableId="604002040">
    <w:abstractNumId w:val="2"/>
  </w:num>
  <w:num w:numId="26" w16cid:durableId="1692802552">
    <w:abstractNumId w:val="7"/>
  </w:num>
  <w:num w:numId="27" w16cid:durableId="21250774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6AD6"/>
    <w:rsid w:val="00005806"/>
    <w:rsid w:val="000225A5"/>
    <w:rsid w:val="00022BD7"/>
    <w:rsid w:val="00035A83"/>
    <w:rsid w:val="00037391"/>
    <w:rsid w:val="00045739"/>
    <w:rsid w:val="00047861"/>
    <w:rsid w:val="000716E2"/>
    <w:rsid w:val="000717DE"/>
    <w:rsid w:val="00072D01"/>
    <w:rsid w:val="000839D9"/>
    <w:rsid w:val="000A4471"/>
    <w:rsid w:val="000A7705"/>
    <w:rsid w:val="000B27A9"/>
    <w:rsid w:val="000B6887"/>
    <w:rsid w:val="000C0C9B"/>
    <w:rsid w:val="000D0745"/>
    <w:rsid w:val="000F3D22"/>
    <w:rsid w:val="000F5656"/>
    <w:rsid w:val="001002EC"/>
    <w:rsid w:val="00102B92"/>
    <w:rsid w:val="00113AFE"/>
    <w:rsid w:val="00122535"/>
    <w:rsid w:val="00131EC0"/>
    <w:rsid w:val="0013322E"/>
    <w:rsid w:val="0013516B"/>
    <w:rsid w:val="00154F2D"/>
    <w:rsid w:val="00157D5B"/>
    <w:rsid w:val="00172CE6"/>
    <w:rsid w:val="00177770"/>
    <w:rsid w:val="00187DB4"/>
    <w:rsid w:val="00187EA2"/>
    <w:rsid w:val="001934F7"/>
    <w:rsid w:val="00195CB3"/>
    <w:rsid w:val="001A6438"/>
    <w:rsid w:val="001B772E"/>
    <w:rsid w:val="001C5244"/>
    <w:rsid w:val="001D1CDD"/>
    <w:rsid w:val="001E2575"/>
    <w:rsid w:val="001F7AC3"/>
    <w:rsid w:val="00202C0B"/>
    <w:rsid w:val="002038FC"/>
    <w:rsid w:val="00212E39"/>
    <w:rsid w:val="00216701"/>
    <w:rsid w:val="00217378"/>
    <w:rsid w:val="00221AE3"/>
    <w:rsid w:val="00234EE4"/>
    <w:rsid w:val="00236E9F"/>
    <w:rsid w:val="0024610B"/>
    <w:rsid w:val="00262A65"/>
    <w:rsid w:val="0026497C"/>
    <w:rsid w:val="00271583"/>
    <w:rsid w:val="00277339"/>
    <w:rsid w:val="002A5813"/>
    <w:rsid w:val="002B07C9"/>
    <w:rsid w:val="002C2410"/>
    <w:rsid w:val="002D7009"/>
    <w:rsid w:val="002E3FDC"/>
    <w:rsid w:val="002E6D2A"/>
    <w:rsid w:val="002F6938"/>
    <w:rsid w:val="002F6C8F"/>
    <w:rsid w:val="003060EE"/>
    <w:rsid w:val="00315046"/>
    <w:rsid w:val="00323465"/>
    <w:rsid w:val="003265E9"/>
    <w:rsid w:val="00327405"/>
    <w:rsid w:val="00330B94"/>
    <w:rsid w:val="00341640"/>
    <w:rsid w:val="00347B95"/>
    <w:rsid w:val="003646AE"/>
    <w:rsid w:val="003704EF"/>
    <w:rsid w:val="00385DC2"/>
    <w:rsid w:val="003A66E1"/>
    <w:rsid w:val="003A6C13"/>
    <w:rsid w:val="003B1EB0"/>
    <w:rsid w:val="003D0BAD"/>
    <w:rsid w:val="003F3C07"/>
    <w:rsid w:val="00406102"/>
    <w:rsid w:val="00407A76"/>
    <w:rsid w:val="00413275"/>
    <w:rsid w:val="00422153"/>
    <w:rsid w:val="00423848"/>
    <w:rsid w:val="0043332F"/>
    <w:rsid w:val="0043677D"/>
    <w:rsid w:val="00444718"/>
    <w:rsid w:val="00444E1B"/>
    <w:rsid w:val="00463B3A"/>
    <w:rsid w:val="0047461C"/>
    <w:rsid w:val="00475EF5"/>
    <w:rsid w:val="004913C2"/>
    <w:rsid w:val="004A285E"/>
    <w:rsid w:val="004A4A5E"/>
    <w:rsid w:val="004C7343"/>
    <w:rsid w:val="004D5273"/>
    <w:rsid w:val="004E2007"/>
    <w:rsid w:val="004E468A"/>
    <w:rsid w:val="004F12D3"/>
    <w:rsid w:val="0050777C"/>
    <w:rsid w:val="005129DA"/>
    <w:rsid w:val="0052096A"/>
    <w:rsid w:val="00520A0E"/>
    <w:rsid w:val="00523A50"/>
    <w:rsid w:val="00524EF3"/>
    <w:rsid w:val="00531942"/>
    <w:rsid w:val="00533165"/>
    <w:rsid w:val="00535289"/>
    <w:rsid w:val="00543B05"/>
    <w:rsid w:val="0054402C"/>
    <w:rsid w:val="005444D2"/>
    <w:rsid w:val="00545273"/>
    <w:rsid w:val="0054639D"/>
    <w:rsid w:val="005B098D"/>
    <w:rsid w:val="005B47D5"/>
    <w:rsid w:val="005C069E"/>
    <w:rsid w:val="005D4919"/>
    <w:rsid w:val="005F3AE2"/>
    <w:rsid w:val="006016E9"/>
    <w:rsid w:val="0061083A"/>
    <w:rsid w:val="00615BF9"/>
    <w:rsid w:val="006200D9"/>
    <w:rsid w:val="00632BFE"/>
    <w:rsid w:val="00635D17"/>
    <w:rsid w:val="00637493"/>
    <w:rsid w:val="00643D8E"/>
    <w:rsid w:val="00645DC6"/>
    <w:rsid w:val="00655325"/>
    <w:rsid w:val="00675F80"/>
    <w:rsid w:val="00681BCC"/>
    <w:rsid w:val="00682B75"/>
    <w:rsid w:val="006C1236"/>
    <w:rsid w:val="006C3831"/>
    <w:rsid w:val="006D4FF6"/>
    <w:rsid w:val="006D6341"/>
    <w:rsid w:val="00701002"/>
    <w:rsid w:val="00704BC6"/>
    <w:rsid w:val="00704CFE"/>
    <w:rsid w:val="00710562"/>
    <w:rsid w:val="0072043D"/>
    <w:rsid w:val="00721ACB"/>
    <w:rsid w:val="00722E05"/>
    <w:rsid w:val="0074529B"/>
    <w:rsid w:val="00746C0D"/>
    <w:rsid w:val="007714FE"/>
    <w:rsid w:val="00773F1D"/>
    <w:rsid w:val="0077771D"/>
    <w:rsid w:val="00785CD1"/>
    <w:rsid w:val="007A1805"/>
    <w:rsid w:val="007A4B62"/>
    <w:rsid w:val="007B734F"/>
    <w:rsid w:val="007C4BD9"/>
    <w:rsid w:val="007C7E4C"/>
    <w:rsid w:val="007F0324"/>
    <w:rsid w:val="007F03CC"/>
    <w:rsid w:val="007F75FC"/>
    <w:rsid w:val="008073E7"/>
    <w:rsid w:val="00821923"/>
    <w:rsid w:val="008360FC"/>
    <w:rsid w:val="00853BD0"/>
    <w:rsid w:val="008546DE"/>
    <w:rsid w:val="00856D0F"/>
    <w:rsid w:val="00857477"/>
    <w:rsid w:val="00861072"/>
    <w:rsid w:val="008779D0"/>
    <w:rsid w:val="0088199B"/>
    <w:rsid w:val="00884449"/>
    <w:rsid w:val="008A1708"/>
    <w:rsid w:val="008A1C43"/>
    <w:rsid w:val="008C130B"/>
    <w:rsid w:val="008C43F1"/>
    <w:rsid w:val="008D447C"/>
    <w:rsid w:val="008E4477"/>
    <w:rsid w:val="008E733F"/>
    <w:rsid w:val="008F109E"/>
    <w:rsid w:val="008F3177"/>
    <w:rsid w:val="008F6B77"/>
    <w:rsid w:val="009003EA"/>
    <w:rsid w:val="0092754C"/>
    <w:rsid w:val="00941D85"/>
    <w:rsid w:val="00945571"/>
    <w:rsid w:val="00947DB1"/>
    <w:rsid w:val="00953F03"/>
    <w:rsid w:val="00986B06"/>
    <w:rsid w:val="009A1D67"/>
    <w:rsid w:val="009A6020"/>
    <w:rsid w:val="009E1DF7"/>
    <w:rsid w:val="009F64B9"/>
    <w:rsid w:val="00A053B2"/>
    <w:rsid w:val="00A078C8"/>
    <w:rsid w:val="00A07AF6"/>
    <w:rsid w:val="00A11730"/>
    <w:rsid w:val="00A13FD3"/>
    <w:rsid w:val="00A201D4"/>
    <w:rsid w:val="00A20A9A"/>
    <w:rsid w:val="00A22B25"/>
    <w:rsid w:val="00A246DF"/>
    <w:rsid w:val="00A27F80"/>
    <w:rsid w:val="00A313A0"/>
    <w:rsid w:val="00A41762"/>
    <w:rsid w:val="00A47D92"/>
    <w:rsid w:val="00A558AE"/>
    <w:rsid w:val="00A6799E"/>
    <w:rsid w:val="00A67DF1"/>
    <w:rsid w:val="00A72D47"/>
    <w:rsid w:val="00A80B7B"/>
    <w:rsid w:val="00A81695"/>
    <w:rsid w:val="00AA1920"/>
    <w:rsid w:val="00AC1C9F"/>
    <w:rsid w:val="00AE2A1D"/>
    <w:rsid w:val="00AE3692"/>
    <w:rsid w:val="00AF37C4"/>
    <w:rsid w:val="00B01EFB"/>
    <w:rsid w:val="00B05D41"/>
    <w:rsid w:val="00B072BC"/>
    <w:rsid w:val="00B155D7"/>
    <w:rsid w:val="00B2309C"/>
    <w:rsid w:val="00B541B0"/>
    <w:rsid w:val="00B6088F"/>
    <w:rsid w:val="00B60C1C"/>
    <w:rsid w:val="00B61E72"/>
    <w:rsid w:val="00B67531"/>
    <w:rsid w:val="00B776FA"/>
    <w:rsid w:val="00B85EE8"/>
    <w:rsid w:val="00BD7C38"/>
    <w:rsid w:val="00C05D69"/>
    <w:rsid w:val="00C10AB3"/>
    <w:rsid w:val="00C13C1C"/>
    <w:rsid w:val="00C31B2C"/>
    <w:rsid w:val="00C36383"/>
    <w:rsid w:val="00C62BDA"/>
    <w:rsid w:val="00C773C4"/>
    <w:rsid w:val="00C84505"/>
    <w:rsid w:val="00C86DCE"/>
    <w:rsid w:val="00CB486D"/>
    <w:rsid w:val="00CC0C32"/>
    <w:rsid w:val="00CD296F"/>
    <w:rsid w:val="00CD6AD6"/>
    <w:rsid w:val="00CF0D51"/>
    <w:rsid w:val="00D044A3"/>
    <w:rsid w:val="00D22A0A"/>
    <w:rsid w:val="00D2618E"/>
    <w:rsid w:val="00D34C11"/>
    <w:rsid w:val="00D454A4"/>
    <w:rsid w:val="00D468A2"/>
    <w:rsid w:val="00D523D1"/>
    <w:rsid w:val="00D6424B"/>
    <w:rsid w:val="00D80334"/>
    <w:rsid w:val="00D87FC5"/>
    <w:rsid w:val="00D90A01"/>
    <w:rsid w:val="00D93298"/>
    <w:rsid w:val="00DB5D9C"/>
    <w:rsid w:val="00DC51DA"/>
    <w:rsid w:val="00DE1F5D"/>
    <w:rsid w:val="00DE2707"/>
    <w:rsid w:val="00DE4A7B"/>
    <w:rsid w:val="00E149BA"/>
    <w:rsid w:val="00E21F8F"/>
    <w:rsid w:val="00E23103"/>
    <w:rsid w:val="00E313D7"/>
    <w:rsid w:val="00E41ACC"/>
    <w:rsid w:val="00E5278C"/>
    <w:rsid w:val="00E56992"/>
    <w:rsid w:val="00E7288D"/>
    <w:rsid w:val="00E83582"/>
    <w:rsid w:val="00E85852"/>
    <w:rsid w:val="00E956A7"/>
    <w:rsid w:val="00EA15D9"/>
    <w:rsid w:val="00EA6F2E"/>
    <w:rsid w:val="00EA75E6"/>
    <w:rsid w:val="00EB05E4"/>
    <w:rsid w:val="00EC53B6"/>
    <w:rsid w:val="00ED1876"/>
    <w:rsid w:val="00EE78E1"/>
    <w:rsid w:val="00EF3980"/>
    <w:rsid w:val="00F019C9"/>
    <w:rsid w:val="00F22B8B"/>
    <w:rsid w:val="00F23470"/>
    <w:rsid w:val="00F24969"/>
    <w:rsid w:val="00F27B2F"/>
    <w:rsid w:val="00F33000"/>
    <w:rsid w:val="00F37F45"/>
    <w:rsid w:val="00F51E28"/>
    <w:rsid w:val="00F60DFB"/>
    <w:rsid w:val="00F759FE"/>
    <w:rsid w:val="00F87246"/>
    <w:rsid w:val="00FA7F59"/>
    <w:rsid w:val="00FB1708"/>
    <w:rsid w:val="00FB5277"/>
    <w:rsid w:val="00FB6DE4"/>
    <w:rsid w:val="00FF2273"/>
    <w:rsid w:val="00FF3E0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33786"/>
  <w15:docId w15:val="{85E5D9A7-67D2-4256-9670-4216E0856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GB"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E05"/>
    <w:pPr>
      <w:jc w:val="both"/>
    </w:pPr>
    <w:rPr>
      <w:rFonts w:ascii="Calibri" w:hAnsi="Calibri" w:cstheme="minorBidi"/>
      <w:szCs w:val="24"/>
    </w:rPr>
  </w:style>
  <w:style w:type="paragraph" w:styleId="Heading1">
    <w:name w:val="heading 1"/>
    <w:basedOn w:val="Normal"/>
    <w:next w:val="Normal"/>
    <w:link w:val="Heading1Char"/>
    <w:uiPriority w:val="9"/>
    <w:qFormat/>
    <w:rsid w:val="00722E05"/>
    <w:pPr>
      <w:keepNext/>
      <w:numPr>
        <w:numId w:val="24"/>
      </w:numPr>
      <w:spacing w:before="240" w:after="60"/>
      <w:outlineLvl w:val="0"/>
    </w:pPr>
    <w:rPr>
      <w:rFonts w:asciiTheme="majorHAnsi" w:eastAsiaTheme="majorEastAsia" w:hAnsiTheme="majorHAnsi"/>
      <w:b/>
      <w:bCs/>
      <w:smallCaps/>
      <w:kern w:val="32"/>
      <w:sz w:val="32"/>
      <w:szCs w:val="32"/>
    </w:rPr>
  </w:style>
  <w:style w:type="paragraph" w:styleId="Heading2">
    <w:name w:val="heading 2"/>
    <w:basedOn w:val="Normal"/>
    <w:next w:val="Normal"/>
    <w:link w:val="Heading2Char"/>
    <w:uiPriority w:val="9"/>
    <w:unhideWhenUsed/>
    <w:qFormat/>
    <w:rsid w:val="00722E05"/>
    <w:pPr>
      <w:keepNext/>
      <w:numPr>
        <w:ilvl w:val="1"/>
        <w:numId w:val="24"/>
      </w:numPr>
      <w:spacing w:before="240" w:after="60"/>
      <w:outlineLvl w:val="1"/>
    </w:pPr>
    <w:rPr>
      <w:rFonts w:asciiTheme="majorHAnsi" w:eastAsiaTheme="majorEastAsia" w:hAnsiTheme="majorHAnsi"/>
      <w:b/>
      <w:bCs/>
      <w:iCs/>
      <w:smallCaps/>
      <w:sz w:val="28"/>
      <w:szCs w:val="28"/>
    </w:rPr>
  </w:style>
  <w:style w:type="paragraph" w:styleId="Heading3">
    <w:name w:val="heading 3"/>
    <w:basedOn w:val="Normal"/>
    <w:next w:val="Normal"/>
    <w:link w:val="Heading3Char"/>
    <w:uiPriority w:val="9"/>
    <w:unhideWhenUsed/>
    <w:qFormat/>
    <w:rsid w:val="00E83582"/>
    <w:pPr>
      <w:keepNext/>
      <w:numPr>
        <w:ilvl w:val="2"/>
        <w:numId w:val="24"/>
      </w:numPr>
      <w:spacing w:before="240" w:after="60"/>
      <w:ind w:left="720"/>
      <w:outlineLvl w:val="2"/>
    </w:pPr>
    <w:rPr>
      <w:rFonts w:asciiTheme="majorHAnsi" w:eastAsiaTheme="majorEastAsia" w:hAnsiTheme="majorHAnsi"/>
      <w:b/>
      <w:bCs/>
      <w:smallCaps/>
      <w:sz w:val="26"/>
      <w:szCs w:val="26"/>
    </w:rPr>
  </w:style>
  <w:style w:type="paragraph" w:styleId="Heading4">
    <w:name w:val="heading 4"/>
    <w:basedOn w:val="Normal"/>
    <w:next w:val="Normal"/>
    <w:link w:val="Heading4Char"/>
    <w:uiPriority w:val="9"/>
    <w:semiHidden/>
    <w:unhideWhenUsed/>
    <w:qFormat/>
    <w:rsid w:val="00722E05"/>
    <w:pPr>
      <w:keepNext/>
      <w:numPr>
        <w:ilvl w:val="3"/>
        <w:numId w:val="24"/>
      </w:numPr>
      <w:spacing w:before="240" w:after="60"/>
      <w:outlineLvl w:val="3"/>
    </w:pPr>
    <w:rPr>
      <w:b/>
      <w:bCs/>
      <w:smallCaps/>
      <w:sz w:val="26"/>
      <w:szCs w:val="28"/>
    </w:rPr>
  </w:style>
  <w:style w:type="paragraph" w:styleId="Heading5">
    <w:name w:val="heading 5"/>
    <w:basedOn w:val="Normal"/>
    <w:next w:val="Normal"/>
    <w:link w:val="Heading5Char"/>
    <w:uiPriority w:val="9"/>
    <w:semiHidden/>
    <w:unhideWhenUsed/>
    <w:qFormat/>
    <w:rsid w:val="00722E05"/>
    <w:pPr>
      <w:numPr>
        <w:ilvl w:val="4"/>
        <w:numId w:val="24"/>
      </w:numPr>
      <w:spacing w:before="240" w:after="60"/>
      <w:outlineLvl w:val="4"/>
    </w:pPr>
    <w:rPr>
      <w:rFonts w:asciiTheme="minorHAnsi" w:hAnsiTheme="minorHAnsi"/>
      <w:b/>
      <w:bCs/>
      <w:i/>
      <w:iCs/>
      <w:sz w:val="26"/>
      <w:szCs w:val="26"/>
    </w:rPr>
  </w:style>
  <w:style w:type="paragraph" w:styleId="Heading6">
    <w:name w:val="heading 6"/>
    <w:basedOn w:val="Normal"/>
    <w:next w:val="Normal"/>
    <w:link w:val="Heading6Char"/>
    <w:uiPriority w:val="9"/>
    <w:semiHidden/>
    <w:unhideWhenUsed/>
    <w:qFormat/>
    <w:rsid w:val="00722E05"/>
    <w:pPr>
      <w:numPr>
        <w:ilvl w:val="5"/>
        <w:numId w:val="24"/>
      </w:numPr>
      <w:spacing w:before="240" w:after="60"/>
      <w:outlineLvl w:val="5"/>
    </w:pPr>
    <w:rPr>
      <w:rFonts w:asciiTheme="minorHAnsi" w:hAnsiTheme="minorHAnsi"/>
      <w:b/>
      <w:bCs/>
      <w:szCs w:val="22"/>
    </w:rPr>
  </w:style>
  <w:style w:type="paragraph" w:styleId="Heading7">
    <w:name w:val="heading 7"/>
    <w:basedOn w:val="Normal"/>
    <w:next w:val="Normal"/>
    <w:link w:val="Heading7Char"/>
    <w:uiPriority w:val="9"/>
    <w:semiHidden/>
    <w:unhideWhenUsed/>
    <w:qFormat/>
    <w:rsid w:val="00722E05"/>
    <w:pPr>
      <w:numPr>
        <w:ilvl w:val="6"/>
        <w:numId w:val="24"/>
      </w:numPr>
      <w:spacing w:before="240" w:after="60"/>
      <w:outlineLvl w:val="6"/>
    </w:pPr>
    <w:rPr>
      <w:rFonts w:asciiTheme="minorHAnsi" w:hAnsiTheme="minorHAnsi"/>
    </w:rPr>
  </w:style>
  <w:style w:type="paragraph" w:styleId="Heading8">
    <w:name w:val="heading 8"/>
    <w:basedOn w:val="Normal"/>
    <w:next w:val="Normal"/>
    <w:link w:val="Heading8Char"/>
    <w:uiPriority w:val="9"/>
    <w:semiHidden/>
    <w:unhideWhenUsed/>
    <w:qFormat/>
    <w:rsid w:val="00722E05"/>
    <w:pPr>
      <w:numPr>
        <w:ilvl w:val="7"/>
        <w:numId w:val="24"/>
      </w:numPr>
      <w:spacing w:before="240" w:after="60"/>
      <w:outlineLvl w:val="7"/>
    </w:pPr>
    <w:rPr>
      <w:rFonts w:asciiTheme="minorHAnsi" w:hAnsiTheme="minorHAnsi"/>
      <w:i/>
      <w:iCs/>
    </w:rPr>
  </w:style>
  <w:style w:type="paragraph" w:styleId="Heading9">
    <w:name w:val="heading 9"/>
    <w:basedOn w:val="Normal"/>
    <w:next w:val="Normal"/>
    <w:link w:val="Heading9Char"/>
    <w:uiPriority w:val="9"/>
    <w:semiHidden/>
    <w:unhideWhenUsed/>
    <w:qFormat/>
    <w:rsid w:val="00722E05"/>
    <w:pPr>
      <w:spacing w:before="240" w:after="60"/>
      <w:ind w:left="1584" w:hanging="1584"/>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E05"/>
    <w:rPr>
      <w:rFonts w:asciiTheme="majorHAnsi" w:eastAsiaTheme="majorEastAsia" w:hAnsiTheme="majorHAnsi" w:cstheme="minorBidi"/>
      <w:b/>
      <w:bCs/>
      <w:smallCaps/>
      <w:kern w:val="32"/>
      <w:sz w:val="32"/>
      <w:szCs w:val="32"/>
    </w:rPr>
  </w:style>
  <w:style w:type="character" w:customStyle="1" w:styleId="Heading2Char">
    <w:name w:val="Heading 2 Char"/>
    <w:basedOn w:val="DefaultParagraphFont"/>
    <w:link w:val="Heading2"/>
    <w:uiPriority w:val="9"/>
    <w:rsid w:val="00722E05"/>
    <w:rPr>
      <w:rFonts w:asciiTheme="majorHAnsi" w:eastAsiaTheme="majorEastAsia" w:hAnsiTheme="majorHAnsi" w:cstheme="minorBidi"/>
      <w:b/>
      <w:bCs/>
      <w:iCs/>
      <w:smallCaps/>
      <w:sz w:val="28"/>
      <w:szCs w:val="28"/>
    </w:rPr>
  </w:style>
  <w:style w:type="character" w:customStyle="1" w:styleId="Heading3Char">
    <w:name w:val="Heading 3 Char"/>
    <w:basedOn w:val="DefaultParagraphFont"/>
    <w:link w:val="Heading3"/>
    <w:uiPriority w:val="9"/>
    <w:rsid w:val="00E83582"/>
    <w:rPr>
      <w:rFonts w:asciiTheme="majorHAnsi" w:eastAsiaTheme="majorEastAsia" w:hAnsiTheme="majorHAnsi" w:cstheme="minorBidi"/>
      <w:b/>
      <w:bCs/>
      <w:smallCaps/>
      <w:sz w:val="26"/>
      <w:szCs w:val="26"/>
    </w:rPr>
  </w:style>
  <w:style w:type="character" w:customStyle="1" w:styleId="Heading4Char">
    <w:name w:val="Heading 4 Char"/>
    <w:basedOn w:val="DefaultParagraphFont"/>
    <w:link w:val="Heading4"/>
    <w:uiPriority w:val="9"/>
    <w:semiHidden/>
    <w:rsid w:val="00722E05"/>
    <w:rPr>
      <w:rFonts w:ascii="Calibri" w:hAnsi="Calibri" w:cstheme="minorBidi"/>
      <w:b/>
      <w:bCs/>
      <w:smallCaps/>
      <w:sz w:val="26"/>
      <w:szCs w:val="28"/>
    </w:rPr>
  </w:style>
  <w:style w:type="character" w:customStyle="1" w:styleId="Heading5Char">
    <w:name w:val="Heading 5 Char"/>
    <w:basedOn w:val="DefaultParagraphFont"/>
    <w:link w:val="Heading5"/>
    <w:uiPriority w:val="9"/>
    <w:semiHidden/>
    <w:rsid w:val="00722E05"/>
    <w:rPr>
      <w:rFonts w:cstheme="minorBidi"/>
      <w:b/>
      <w:bCs/>
      <w:i/>
      <w:iCs/>
      <w:sz w:val="26"/>
      <w:szCs w:val="26"/>
    </w:rPr>
  </w:style>
  <w:style w:type="character" w:customStyle="1" w:styleId="Heading6Char">
    <w:name w:val="Heading 6 Char"/>
    <w:basedOn w:val="DefaultParagraphFont"/>
    <w:link w:val="Heading6"/>
    <w:uiPriority w:val="9"/>
    <w:semiHidden/>
    <w:rsid w:val="00722E05"/>
    <w:rPr>
      <w:rFonts w:cstheme="minorBidi"/>
      <w:b/>
      <w:bCs/>
    </w:rPr>
  </w:style>
  <w:style w:type="character" w:customStyle="1" w:styleId="Heading7Char">
    <w:name w:val="Heading 7 Char"/>
    <w:basedOn w:val="DefaultParagraphFont"/>
    <w:link w:val="Heading7"/>
    <w:uiPriority w:val="9"/>
    <w:semiHidden/>
    <w:rsid w:val="00722E05"/>
    <w:rPr>
      <w:rFonts w:cstheme="minorBidi"/>
      <w:szCs w:val="24"/>
    </w:rPr>
  </w:style>
  <w:style w:type="character" w:customStyle="1" w:styleId="Heading8Char">
    <w:name w:val="Heading 8 Char"/>
    <w:basedOn w:val="DefaultParagraphFont"/>
    <w:link w:val="Heading8"/>
    <w:uiPriority w:val="9"/>
    <w:semiHidden/>
    <w:rsid w:val="00722E05"/>
    <w:rPr>
      <w:rFonts w:cstheme="minorBidi"/>
      <w:i/>
      <w:iCs/>
      <w:szCs w:val="24"/>
    </w:rPr>
  </w:style>
  <w:style w:type="character" w:customStyle="1" w:styleId="Heading9Char">
    <w:name w:val="Heading 9 Char"/>
    <w:basedOn w:val="DefaultParagraphFont"/>
    <w:link w:val="Heading9"/>
    <w:uiPriority w:val="9"/>
    <w:semiHidden/>
    <w:rsid w:val="00722E05"/>
    <w:rPr>
      <w:rFonts w:asciiTheme="majorHAnsi" w:eastAsiaTheme="majorEastAsia" w:hAnsiTheme="majorHAnsi" w:cstheme="minorBidi"/>
    </w:rPr>
  </w:style>
  <w:style w:type="paragraph" w:styleId="Title">
    <w:name w:val="Title"/>
    <w:basedOn w:val="Normal"/>
    <w:next w:val="Normal"/>
    <w:link w:val="TitleChar"/>
    <w:uiPriority w:val="10"/>
    <w:qFormat/>
    <w:rsid w:val="00722E05"/>
    <w:pPr>
      <w:spacing w:before="240" w:after="60"/>
      <w:jc w:val="left"/>
      <w:outlineLvl w:val="0"/>
    </w:pPr>
    <w:rPr>
      <w:rFonts w:asciiTheme="majorHAnsi" w:eastAsiaTheme="majorEastAsia" w:hAnsiTheme="majorHAnsi"/>
      <w:b/>
      <w:bCs/>
      <w:smallCaps/>
      <w:kern w:val="28"/>
      <w:sz w:val="44"/>
      <w:szCs w:val="32"/>
    </w:rPr>
  </w:style>
  <w:style w:type="character" w:customStyle="1" w:styleId="TitleChar">
    <w:name w:val="Title Char"/>
    <w:basedOn w:val="DefaultParagraphFont"/>
    <w:link w:val="Title"/>
    <w:uiPriority w:val="10"/>
    <w:rsid w:val="00722E05"/>
    <w:rPr>
      <w:rFonts w:asciiTheme="majorHAnsi" w:eastAsiaTheme="majorEastAsia" w:hAnsiTheme="majorHAnsi" w:cstheme="minorBidi"/>
      <w:b/>
      <w:bCs/>
      <w:smallCaps/>
      <w:kern w:val="28"/>
      <w:sz w:val="44"/>
      <w:szCs w:val="32"/>
    </w:rPr>
  </w:style>
  <w:style w:type="paragraph" w:styleId="Subtitle">
    <w:name w:val="Subtitle"/>
    <w:basedOn w:val="Normal"/>
    <w:next w:val="Normal"/>
    <w:link w:val="SubtitleChar"/>
    <w:uiPriority w:val="11"/>
    <w:qFormat/>
    <w:rsid w:val="00B61E72"/>
    <w:pPr>
      <w:spacing w:after="60"/>
      <w:jc w:val="left"/>
      <w:outlineLvl w:val="1"/>
    </w:pPr>
    <w:rPr>
      <w:rFonts w:asciiTheme="majorHAnsi" w:eastAsiaTheme="majorEastAsia" w:hAnsiTheme="majorHAnsi"/>
      <w:smallCaps/>
      <w:sz w:val="24"/>
    </w:rPr>
  </w:style>
  <w:style w:type="character" w:customStyle="1" w:styleId="SubtitleChar">
    <w:name w:val="Subtitle Char"/>
    <w:basedOn w:val="DefaultParagraphFont"/>
    <w:link w:val="Subtitle"/>
    <w:uiPriority w:val="11"/>
    <w:rsid w:val="00B61E72"/>
    <w:rPr>
      <w:rFonts w:asciiTheme="majorHAnsi" w:eastAsiaTheme="majorEastAsia" w:hAnsiTheme="majorHAnsi" w:cstheme="minorBidi"/>
      <w:smallCaps/>
      <w:sz w:val="24"/>
      <w:szCs w:val="24"/>
    </w:rPr>
  </w:style>
  <w:style w:type="character" w:styleId="Strong">
    <w:name w:val="Strong"/>
    <w:basedOn w:val="DefaultParagraphFont"/>
    <w:uiPriority w:val="22"/>
    <w:qFormat/>
    <w:rsid w:val="00722E05"/>
    <w:rPr>
      <w:b/>
      <w:bCs/>
    </w:rPr>
  </w:style>
  <w:style w:type="character" w:styleId="Emphasis">
    <w:name w:val="Emphasis"/>
    <w:basedOn w:val="DefaultParagraphFont"/>
    <w:uiPriority w:val="20"/>
    <w:qFormat/>
    <w:rsid w:val="00722E05"/>
    <w:rPr>
      <w:rFonts w:asciiTheme="minorHAnsi" w:hAnsiTheme="minorHAnsi"/>
      <w:b/>
      <w:i/>
      <w:iCs/>
    </w:rPr>
  </w:style>
  <w:style w:type="paragraph" w:styleId="NoSpacing">
    <w:name w:val="No Spacing"/>
    <w:basedOn w:val="Normal"/>
    <w:link w:val="NoSpacingChar"/>
    <w:uiPriority w:val="1"/>
    <w:qFormat/>
    <w:rsid w:val="00722E05"/>
    <w:rPr>
      <w:rFonts w:asciiTheme="minorHAnsi" w:hAnsiTheme="minorHAnsi"/>
      <w:sz w:val="24"/>
      <w:szCs w:val="32"/>
    </w:rPr>
  </w:style>
  <w:style w:type="character" w:customStyle="1" w:styleId="NoSpacingChar">
    <w:name w:val="No Spacing Char"/>
    <w:basedOn w:val="DefaultParagraphFont"/>
    <w:link w:val="NoSpacing"/>
    <w:uiPriority w:val="1"/>
    <w:rsid w:val="00722E05"/>
    <w:rPr>
      <w:rFonts w:cstheme="minorBidi"/>
      <w:sz w:val="24"/>
      <w:szCs w:val="32"/>
    </w:rPr>
  </w:style>
  <w:style w:type="paragraph" w:styleId="ListParagraph">
    <w:name w:val="List Paragraph"/>
    <w:basedOn w:val="Normal"/>
    <w:uiPriority w:val="34"/>
    <w:qFormat/>
    <w:rsid w:val="00722E05"/>
    <w:pPr>
      <w:ind w:left="720"/>
      <w:contextualSpacing/>
    </w:pPr>
  </w:style>
  <w:style w:type="paragraph" w:styleId="Quote">
    <w:name w:val="Quote"/>
    <w:basedOn w:val="Normal"/>
    <w:next w:val="Normal"/>
    <w:link w:val="QuoteChar"/>
    <w:uiPriority w:val="29"/>
    <w:qFormat/>
    <w:rsid w:val="00722E05"/>
    <w:rPr>
      <w:rFonts w:asciiTheme="minorHAnsi" w:hAnsiTheme="minorHAnsi"/>
      <w:i/>
      <w:sz w:val="24"/>
    </w:rPr>
  </w:style>
  <w:style w:type="character" w:customStyle="1" w:styleId="QuoteChar">
    <w:name w:val="Quote Char"/>
    <w:basedOn w:val="DefaultParagraphFont"/>
    <w:link w:val="Quote"/>
    <w:uiPriority w:val="29"/>
    <w:rsid w:val="00722E05"/>
    <w:rPr>
      <w:rFonts w:cstheme="minorBidi"/>
      <w:i/>
      <w:sz w:val="24"/>
      <w:szCs w:val="24"/>
    </w:rPr>
  </w:style>
  <w:style w:type="paragraph" w:styleId="IntenseQuote">
    <w:name w:val="Intense Quote"/>
    <w:basedOn w:val="Normal"/>
    <w:next w:val="Normal"/>
    <w:link w:val="IntenseQuoteChar"/>
    <w:uiPriority w:val="30"/>
    <w:qFormat/>
    <w:rsid w:val="00722E05"/>
    <w:pPr>
      <w:ind w:left="720" w:right="720"/>
    </w:pPr>
    <w:rPr>
      <w:rFonts w:asciiTheme="minorHAnsi" w:hAnsiTheme="minorHAnsi"/>
      <w:b/>
      <w:i/>
      <w:sz w:val="24"/>
      <w:szCs w:val="22"/>
    </w:rPr>
  </w:style>
  <w:style w:type="character" w:customStyle="1" w:styleId="IntenseQuoteChar">
    <w:name w:val="Intense Quote Char"/>
    <w:basedOn w:val="DefaultParagraphFont"/>
    <w:link w:val="IntenseQuote"/>
    <w:uiPriority w:val="30"/>
    <w:rsid w:val="00722E05"/>
    <w:rPr>
      <w:rFonts w:cstheme="minorBidi"/>
      <w:b/>
      <w:i/>
      <w:sz w:val="24"/>
    </w:rPr>
  </w:style>
  <w:style w:type="character" w:styleId="SubtleEmphasis">
    <w:name w:val="Subtle Emphasis"/>
    <w:uiPriority w:val="19"/>
    <w:qFormat/>
    <w:rsid w:val="00722E05"/>
    <w:rPr>
      <w:i/>
      <w:color w:val="5A5A5A" w:themeColor="text1" w:themeTint="A5"/>
    </w:rPr>
  </w:style>
  <w:style w:type="character" w:styleId="IntenseEmphasis">
    <w:name w:val="Intense Emphasis"/>
    <w:basedOn w:val="DefaultParagraphFont"/>
    <w:uiPriority w:val="21"/>
    <w:qFormat/>
    <w:rsid w:val="00722E05"/>
    <w:rPr>
      <w:b/>
      <w:i/>
      <w:sz w:val="24"/>
      <w:szCs w:val="24"/>
      <w:u w:val="single"/>
    </w:rPr>
  </w:style>
  <w:style w:type="character" w:styleId="SubtleReference">
    <w:name w:val="Subtle Reference"/>
    <w:basedOn w:val="DefaultParagraphFont"/>
    <w:uiPriority w:val="31"/>
    <w:qFormat/>
    <w:rsid w:val="00722E05"/>
    <w:rPr>
      <w:sz w:val="24"/>
      <w:szCs w:val="24"/>
      <w:u w:val="single"/>
    </w:rPr>
  </w:style>
  <w:style w:type="character" w:styleId="IntenseReference">
    <w:name w:val="Intense Reference"/>
    <w:basedOn w:val="DefaultParagraphFont"/>
    <w:uiPriority w:val="32"/>
    <w:qFormat/>
    <w:rsid w:val="00722E05"/>
    <w:rPr>
      <w:b/>
      <w:sz w:val="24"/>
      <w:u w:val="single"/>
    </w:rPr>
  </w:style>
  <w:style w:type="character" w:styleId="BookTitle">
    <w:name w:val="Book Title"/>
    <w:basedOn w:val="DefaultParagraphFont"/>
    <w:uiPriority w:val="33"/>
    <w:qFormat/>
    <w:rsid w:val="00722E05"/>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22E05"/>
    <w:pPr>
      <w:numPr>
        <w:numId w:val="0"/>
      </w:numPr>
      <w:outlineLvl w:val="9"/>
    </w:pPr>
  </w:style>
  <w:style w:type="character" w:styleId="Hyperlink">
    <w:name w:val="Hyperlink"/>
    <w:basedOn w:val="DefaultParagraphFont"/>
    <w:uiPriority w:val="99"/>
    <w:unhideWhenUsed/>
    <w:rsid w:val="00722E05"/>
    <w:rPr>
      <w:color w:val="0000FF"/>
      <w:u w:val="single"/>
    </w:rPr>
  </w:style>
  <w:style w:type="paragraph" w:customStyle="1" w:styleId="HeaderOdd">
    <w:name w:val="Header Odd"/>
    <w:basedOn w:val="NoSpacing"/>
    <w:rsid w:val="00722E05"/>
    <w:pPr>
      <w:pBdr>
        <w:bottom w:val="single" w:sz="4" w:space="1" w:color="DDDDDD" w:themeColor="accent1"/>
      </w:pBdr>
      <w:spacing w:after="0"/>
      <w:jc w:val="right"/>
    </w:pPr>
    <w:rPr>
      <w:b/>
      <w:bCs/>
      <w:color w:val="000000" w:themeColor="text2"/>
      <w:sz w:val="20"/>
      <w:szCs w:val="20"/>
      <w:lang w:val="en-US" w:eastAsia="ja-JP"/>
    </w:rPr>
  </w:style>
  <w:style w:type="paragraph" w:styleId="BalloonText">
    <w:name w:val="Balloon Text"/>
    <w:basedOn w:val="Normal"/>
    <w:link w:val="BalloonTextChar"/>
    <w:uiPriority w:val="99"/>
    <w:semiHidden/>
    <w:unhideWhenUsed/>
    <w:rsid w:val="00722E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E05"/>
    <w:rPr>
      <w:rFonts w:ascii="Tahoma" w:eastAsiaTheme="minorEastAsia" w:hAnsi="Tahoma" w:cs="Tahoma"/>
      <w:bCs/>
      <w:sz w:val="16"/>
      <w:szCs w:val="16"/>
    </w:rPr>
  </w:style>
  <w:style w:type="paragraph" w:styleId="Header">
    <w:name w:val="header"/>
    <w:basedOn w:val="Normal"/>
    <w:link w:val="HeaderChar"/>
    <w:uiPriority w:val="99"/>
    <w:unhideWhenUsed/>
    <w:rsid w:val="00722E05"/>
    <w:pPr>
      <w:tabs>
        <w:tab w:val="center" w:pos="4536"/>
        <w:tab w:val="right" w:pos="9072"/>
      </w:tabs>
      <w:spacing w:after="0"/>
    </w:pPr>
  </w:style>
  <w:style w:type="character" w:customStyle="1" w:styleId="HeaderChar">
    <w:name w:val="Header Char"/>
    <w:basedOn w:val="DefaultParagraphFont"/>
    <w:link w:val="Header"/>
    <w:uiPriority w:val="99"/>
    <w:rsid w:val="00722E05"/>
    <w:rPr>
      <w:rFonts w:ascii="Calibri" w:hAnsi="Calibri" w:cstheme="minorBidi"/>
      <w:szCs w:val="24"/>
    </w:rPr>
  </w:style>
  <w:style w:type="paragraph" w:styleId="Footer">
    <w:name w:val="footer"/>
    <w:basedOn w:val="Normal"/>
    <w:link w:val="FooterChar"/>
    <w:uiPriority w:val="99"/>
    <w:unhideWhenUsed/>
    <w:rsid w:val="00722E05"/>
    <w:pPr>
      <w:tabs>
        <w:tab w:val="center" w:pos="4536"/>
        <w:tab w:val="right" w:pos="9072"/>
      </w:tabs>
      <w:spacing w:after="0"/>
    </w:pPr>
  </w:style>
  <w:style w:type="character" w:customStyle="1" w:styleId="FooterChar">
    <w:name w:val="Footer Char"/>
    <w:basedOn w:val="DefaultParagraphFont"/>
    <w:link w:val="Footer"/>
    <w:uiPriority w:val="99"/>
    <w:rsid w:val="00722E05"/>
    <w:rPr>
      <w:rFonts w:ascii="Calibri" w:hAnsi="Calibri" w:cstheme="minorBidi"/>
      <w:szCs w:val="24"/>
    </w:rPr>
  </w:style>
  <w:style w:type="character" w:styleId="FollowedHyperlink">
    <w:name w:val="FollowedHyperlink"/>
    <w:basedOn w:val="DefaultParagraphFont"/>
    <w:uiPriority w:val="99"/>
    <w:semiHidden/>
    <w:unhideWhenUsed/>
    <w:rsid w:val="00005806"/>
    <w:rPr>
      <w:color w:val="919191" w:themeColor="followedHyperlink"/>
      <w:u w:val="single"/>
    </w:rPr>
  </w:style>
  <w:style w:type="character" w:styleId="PlaceholderText">
    <w:name w:val="Placeholder Text"/>
    <w:basedOn w:val="DefaultParagraphFont"/>
    <w:uiPriority w:val="99"/>
    <w:semiHidden/>
    <w:rsid w:val="00EA75E6"/>
    <w:rPr>
      <w:color w:val="808080"/>
    </w:rPr>
  </w:style>
  <w:style w:type="table" w:styleId="TableGrid">
    <w:name w:val="Table Grid"/>
    <w:basedOn w:val="TableNormal"/>
    <w:uiPriority w:val="59"/>
    <w:rsid w:val="00F8724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F87246"/>
    <w:pPr>
      <w:spacing w:after="200"/>
    </w:pPr>
    <w:rPr>
      <w:b/>
      <w:bCs/>
      <w:color w:val="DDDDDD" w:themeColor="accent1"/>
      <w:sz w:val="18"/>
      <w:szCs w:val="18"/>
    </w:rPr>
  </w:style>
  <w:style w:type="paragraph" w:styleId="FootnoteText">
    <w:name w:val="footnote text"/>
    <w:basedOn w:val="Normal"/>
    <w:link w:val="FootnoteTextChar"/>
    <w:uiPriority w:val="99"/>
    <w:semiHidden/>
    <w:unhideWhenUsed/>
    <w:rsid w:val="00C13C1C"/>
    <w:pPr>
      <w:spacing w:after="0"/>
    </w:pPr>
    <w:rPr>
      <w:sz w:val="20"/>
      <w:szCs w:val="20"/>
    </w:rPr>
  </w:style>
  <w:style w:type="character" w:customStyle="1" w:styleId="FootnoteTextChar">
    <w:name w:val="Footnote Text Char"/>
    <w:basedOn w:val="DefaultParagraphFont"/>
    <w:link w:val="FootnoteText"/>
    <w:uiPriority w:val="99"/>
    <w:semiHidden/>
    <w:rsid w:val="00C13C1C"/>
    <w:rPr>
      <w:rFonts w:ascii="Calibri" w:hAnsi="Calibri" w:cstheme="minorBidi"/>
      <w:sz w:val="20"/>
      <w:szCs w:val="20"/>
    </w:rPr>
  </w:style>
  <w:style w:type="character" w:styleId="FootnoteReference">
    <w:name w:val="footnote reference"/>
    <w:basedOn w:val="DefaultParagraphFont"/>
    <w:uiPriority w:val="99"/>
    <w:semiHidden/>
    <w:unhideWhenUsed/>
    <w:rsid w:val="00C13C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476076">
      <w:bodyDiv w:val="1"/>
      <w:marLeft w:val="0"/>
      <w:marRight w:val="0"/>
      <w:marTop w:val="0"/>
      <w:marBottom w:val="0"/>
      <w:divBdr>
        <w:top w:val="none" w:sz="0" w:space="0" w:color="auto"/>
        <w:left w:val="none" w:sz="0" w:space="0" w:color="auto"/>
        <w:bottom w:val="none" w:sz="0" w:space="0" w:color="auto"/>
        <w:right w:val="none" w:sz="0" w:space="0" w:color="auto"/>
      </w:divBdr>
    </w:div>
    <w:div w:id="921796128">
      <w:bodyDiv w:val="1"/>
      <w:marLeft w:val="0"/>
      <w:marRight w:val="0"/>
      <w:marTop w:val="0"/>
      <w:marBottom w:val="0"/>
      <w:divBdr>
        <w:top w:val="none" w:sz="0" w:space="0" w:color="auto"/>
        <w:left w:val="none" w:sz="0" w:space="0" w:color="auto"/>
        <w:bottom w:val="none" w:sz="0" w:space="0" w:color="auto"/>
        <w:right w:val="none" w:sz="0" w:space="0" w:color="auto"/>
      </w:divBdr>
    </w:div>
    <w:div w:id="1256013125">
      <w:bodyDiv w:val="1"/>
      <w:marLeft w:val="0"/>
      <w:marRight w:val="0"/>
      <w:marTop w:val="0"/>
      <w:marBottom w:val="0"/>
      <w:divBdr>
        <w:top w:val="none" w:sz="0" w:space="0" w:color="auto"/>
        <w:left w:val="none" w:sz="0" w:space="0" w:color="auto"/>
        <w:bottom w:val="none" w:sz="0" w:space="0" w:color="auto"/>
        <w:right w:val="none" w:sz="0" w:space="0" w:color="auto"/>
      </w:divBdr>
    </w:div>
    <w:div w:id="133853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igaproject.e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amigaproject.eu/?attachment_id=2117"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amigaproject.eu/?attachment_id=180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cran.rstudio.org"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biometris.n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WMF"/></Relationships>
</file>

<file path=word/_rels/footer2.xml.rels><?xml version="1.0" encoding="UTF-8" standalone="yes"?>
<Relationships xmlns="http://schemas.openxmlformats.org/package/2006/relationships"><Relationship Id="rId1" Type="http://schemas.openxmlformats.org/officeDocument/2006/relationships/image" Target="media/image15.W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iometris User Manual">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B02B1-E63F-4893-995D-90115ECEE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1</Pages>
  <Words>3052</Words>
  <Characters>17401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Wageningen UR</Company>
  <LinksUpToDate>false</LinksUpToDate>
  <CharactersWithSpaces>20413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Johannes Kruisselbrink</dc:creator>
  <cp:lastModifiedBy>Johannes Kruisselbrink</cp:lastModifiedBy>
  <cp:revision>230</cp:revision>
  <cp:lastPrinted>2023-02-28T07:43:00Z</cp:lastPrinted>
  <dcterms:created xsi:type="dcterms:W3CDTF">2014-06-30T14:00:00Z</dcterms:created>
  <dcterms:modified xsi:type="dcterms:W3CDTF">2023-02-28T07:43:00Z</dcterms:modified>
</cp:coreProperties>
</file>