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r>
        <w:t xml:space="preserve">Amiga Power Analysis </w:t>
      </w:r>
      <w:r w:rsidR="00722E05">
        <w:t>User Manual</w:t>
      </w:r>
    </w:p>
    <w:p w:rsidR="00722E05" w:rsidRPr="002746E6" w:rsidRDefault="003F3C07" w:rsidP="00722E05">
      <w:pPr>
        <w:pStyle w:val="Subtitle"/>
        <w:spacing w:after="0" w:line="360" w:lineRule="auto"/>
      </w:pPr>
      <w:r>
        <w:fldChar w:fldCharType="begin"/>
      </w:r>
      <w:r>
        <w:instrText xml:space="preserve"> DATE \@ "dd MMMM yyyy" </w:instrText>
      </w:r>
      <w:r>
        <w:fldChar w:fldCharType="separate"/>
      </w:r>
      <w:r w:rsidR="000839D9">
        <w:rPr>
          <w:noProof/>
        </w:rPr>
        <w:t>02 February 2016</w:t>
      </w:r>
      <w:r>
        <w:fldChar w:fldCharType="end"/>
      </w:r>
      <w:r>
        <w:t xml:space="preserve"> </w:t>
      </w:r>
      <w:r w:rsidR="00722E05">
        <w:t xml:space="preserve">– </w:t>
      </w:r>
      <w:r w:rsidR="00A313A0">
        <w:t>Amiga Power Analysis Ver</w:t>
      </w:r>
      <w:r w:rsidR="009A1D67">
        <w:t>s</w:t>
      </w:r>
      <w:r w:rsidR="00A313A0">
        <w:t>ion 1</w:t>
      </w:r>
      <w:r w:rsidR="00722E05">
        <w:t>.</w:t>
      </w:r>
      <w:r w:rsidR="00B05D41">
        <w:t>1</w:t>
      </w:r>
    </w:p>
    <w:p w:rsidR="00722E05" w:rsidRDefault="00722E05" w:rsidP="00722E05">
      <w:pPr>
        <w:pStyle w:val="Heading1"/>
      </w:pPr>
      <w:r>
        <w:t>Introduction</w:t>
      </w:r>
    </w:p>
    <w:p w:rsidR="00A313A0" w:rsidRDefault="00A313A0" w:rsidP="00A313A0">
      <w:r>
        <w:t xml:space="preserve">Welcome to Amiga Power Analysis for environmental risk assessment (ERA) using field trials. With this tool you can calculate the necessary replication for assessing differences and equivalences between a </w:t>
      </w:r>
      <w:r w:rsidR="002E3FDC" w:rsidRPr="002E3FDC">
        <w:t>test and a comparator plant variety under different data models for count and continuous data</w:t>
      </w:r>
      <w:r>
        <w:t>.</w:t>
      </w:r>
    </w:p>
    <w:p w:rsidR="00422153" w:rsidRDefault="00A313A0" w:rsidP="00422153">
      <w:r>
        <w:t xml:space="preserve">This tool </w:t>
      </w:r>
      <w:r w:rsidR="00005806">
        <w:t>builds on EFSA recommendations (Perry et al. 2009, EFSA 2010) and work in the AMIGA proje</w:t>
      </w:r>
      <w:r w:rsidR="00422153">
        <w:t>ct (Goedhart et al. 2013, 2014).</w:t>
      </w:r>
      <w:r w:rsidR="00005806">
        <w:t xml:space="preserve"> It </w:t>
      </w:r>
      <w:r>
        <w:t>allows to specify the experimental design, additional factors in the experiment, and the method of statistical analysis that will be used.</w:t>
      </w:r>
      <w:r w:rsidR="00005806">
        <w:t xml:space="preserve"> The power of difference tests and equivalence tests (</w:t>
      </w:r>
      <w:proofErr w:type="spellStart"/>
      <w:r w:rsidR="00005806">
        <w:t>Schuirmann</w:t>
      </w:r>
      <w:proofErr w:type="spellEnd"/>
      <w:r w:rsidR="00005806">
        <w:t xml:space="preserve"> et al. 1987, Perry et al. 2009) is calculated.</w:t>
      </w:r>
      <w:r w:rsidR="00422153" w:rsidRPr="00422153">
        <w:t xml:space="preserve"> </w:t>
      </w:r>
      <w:r w:rsidR="00422153">
        <w:t>Difference tests are classical tests where the null hypothesis states equality of mean values. For equivalence tests Limits of Concern (LoCs) have to be specified. The null hypothesis of the equivalence test is that the ratio of test and comparator means is at or outside the LoC(s), against the alternative hypothesis that the ratio is within the LoC boundaries.</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The program was developed by the Biometris department of Wageningen University and Research centre (</w:t>
      </w:r>
      <w:hyperlink r:id="rId10" w:history="1">
        <w:r w:rsidRPr="00005806">
          <w:rPr>
            <w:rStyle w:val="Hyperlink"/>
          </w:rPr>
          <w:t>http://www.biometris.nl/</w:t>
        </w:r>
      </w:hyperlink>
      <w:r w:rsidRPr="00005806">
        <w:t>).</w:t>
      </w:r>
    </w:p>
    <w:p w:rsidR="00005806" w:rsidRPr="00005806" w:rsidRDefault="00005806" w:rsidP="00A313A0">
      <w:pPr>
        <w:rPr>
          <w:lang w:val="nl-NL"/>
        </w:rPr>
      </w:pPr>
      <w:r w:rsidRPr="00005806">
        <w:rPr>
          <w:lang w:val="nl-NL"/>
        </w:rPr>
        <w:t xml:space="preserve">Program </w:t>
      </w:r>
      <w:proofErr w:type="spellStart"/>
      <w:r w:rsidRPr="00005806">
        <w:rPr>
          <w:lang w:val="nl-NL"/>
        </w:rPr>
        <w:t>developers</w:t>
      </w:r>
      <w:proofErr w:type="spellEnd"/>
      <w:r w:rsidRPr="00005806">
        <w:rPr>
          <w:lang w:val="nl-NL"/>
        </w:rPr>
        <w:t>: Johannes Kruisselbrink, Paul Goedhart, Hilko van der Voet</w:t>
      </w: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953F03" w:rsidP="00722E05">
      <w:pPr>
        <w:pStyle w:val="Heading2"/>
      </w:pPr>
      <w:r>
        <w:t>Requirements</w:t>
      </w:r>
    </w:p>
    <w:p w:rsidR="003F3C07" w:rsidRDefault="003F3C07" w:rsidP="003F3C07">
      <w:r>
        <w:t>The software is developed for Windows 7 and requires .NET 4.5 client framework. It has not been tested on earlier or later releases of MS Windows.</w:t>
      </w:r>
    </w:p>
    <w:p w:rsidR="003F3C07" w:rsidRPr="003F3C07" w:rsidRDefault="003F3C07" w:rsidP="003F3C07">
      <w:r>
        <w:t>This software requires the installation of the statistical software R, version 3.0.0 or higher. If not already installed, it is best to install R before the installation of the this software.</w:t>
      </w:r>
    </w:p>
    <w:p w:rsidR="00E83582" w:rsidRDefault="00C84505" w:rsidP="003F3C07">
      <w:r>
        <w:t>Follow the steps below t</w:t>
      </w:r>
      <w:r w:rsidR="003F3C07">
        <w:t>o install R</w:t>
      </w:r>
      <w:r w:rsidR="00E83582">
        <w:t>:</w:t>
      </w:r>
    </w:p>
    <w:p w:rsidR="00323465" w:rsidRDefault="00323465" w:rsidP="00323465">
      <w:r w:rsidRPr="00323465">
        <w:rPr>
          <w:b/>
        </w:rPr>
        <w:t>Step 1:</w:t>
      </w:r>
      <w:r>
        <w:t xml:space="preserve"> </w:t>
      </w:r>
      <w:r w:rsidR="00E83582">
        <w:t>G</w:t>
      </w:r>
      <w:r w:rsidR="003F3C07">
        <w:t xml:space="preserve">o to the R website for downloading the Windows version on </w:t>
      </w:r>
      <w:hyperlink r:id="rId11" w:history="1">
        <w:r w:rsidR="003F3C07" w:rsidRPr="00F827C2">
          <w:rPr>
            <w:rStyle w:val="Hyperlink"/>
          </w:rPr>
          <w:t>http://cran.rstudio.org</w:t>
        </w:r>
      </w:hyperlink>
      <w:r w:rsidR="00E83582">
        <w:t>.</w:t>
      </w:r>
    </w:p>
    <w:p w:rsidR="00E83582" w:rsidRDefault="00323465" w:rsidP="00323465">
      <w:r w:rsidRPr="00323465">
        <w:rPr>
          <w:b/>
        </w:rPr>
        <w:t>Step 2:</w:t>
      </w:r>
      <w:r>
        <w:t xml:space="preserve"> </w:t>
      </w:r>
      <w:r w:rsidR="003F3C07">
        <w:t xml:space="preserve">Click on the link "Download </w:t>
      </w:r>
      <w:proofErr w:type="spellStart"/>
      <w:r w:rsidR="003F3C07" w:rsidRPr="00E83582">
        <w:rPr>
          <w:i/>
        </w:rPr>
        <w:t>R.x.x.x</w:t>
      </w:r>
      <w:proofErr w:type="spellEnd"/>
      <w:r w:rsidR="003F3C07">
        <w:t xml:space="preserve"> for Windows". This starts downloading R.</w:t>
      </w:r>
      <w:r w:rsidR="002A5813" w:rsidRPr="002A5813">
        <w:rPr>
          <w:i/>
        </w:rPr>
        <w:t>x</w:t>
      </w:r>
      <w:r w:rsidR="002A5813">
        <w:t>.</w:t>
      </w:r>
      <w:r w:rsidR="002A5813" w:rsidRPr="002A5813">
        <w:rPr>
          <w:i/>
        </w:rPr>
        <w:t>x</w:t>
      </w:r>
      <w:r w:rsidR="002A5813">
        <w:t>.</w:t>
      </w:r>
      <w:r w:rsidR="002A5813" w:rsidRPr="002A5813">
        <w:rPr>
          <w:i/>
        </w:rPr>
        <w:t>x</w:t>
      </w:r>
      <w:r w:rsidR="003F3C07">
        <w:t>-win.e</w:t>
      </w:r>
      <w:r w:rsidR="00E83582">
        <w:t>xe file for both 32 and 64 bit.</w:t>
      </w:r>
    </w:p>
    <w:p w:rsidR="003F3C07" w:rsidRDefault="00323465" w:rsidP="00323465">
      <w:r w:rsidRPr="00323465">
        <w:rPr>
          <w:b/>
        </w:rPr>
        <w:t>Step 3:</w:t>
      </w:r>
      <w:r>
        <w:t xml:space="preserve"> </w:t>
      </w:r>
      <w:r w:rsidR="003F3C07">
        <w:t>After downloading, double click this file to ins</w:t>
      </w:r>
      <w:r w:rsidR="00861072">
        <w:t>tall R.</w:t>
      </w:r>
      <w:r w:rsidRPr="00323465">
        <w:t xml:space="preserve"> </w:t>
      </w:r>
      <w:r w:rsidRPr="00323465">
        <w:rPr>
          <w:b/>
        </w:rPr>
        <w:t>Important:</w:t>
      </w:r>
      <w:r w:rsidRPr="00323465">
        <w:t xml:space="preserve"> Make sure that you keep the default setting under Additional Tasks: "Save version number in registry" checked.</w:t>
      </w:r>
    </w:p>
    <w:p w:rsidR="00406102" w:rsidRDefault="00323465" w:rsidP="00406102">
      <w:r w:rsidRPr="00323465">
        <w:rPr>
          <w:b/>
        </w:rPr>
        <w:t>Step 4:</w:t>
      </w:r>
      <w:r>
        <w:t xml:space="preserve"> </w:t>
      </w:r>
      <w:r w:rsidR="00406102">
        <w:t xml:space="preserve"> Start R and install the packages </w:t>
      </w:r>
      <w:proofErr w:type="spellStart"/>
      <w:r w:rsidR="00406102">
        <w:t>lsmeans</w:t>
      </w:r>
      <w:proofErr w:type="spellEnd"/>
      <w:r w:rsidR="00406102">
        <w:t xml:space="preserve">, </w:t>
      </w:r>
      <w:proofErr w:type="spellStart"/>
      <w:r w:rsidR="00406102">
        <w:t>stringr</w:t>
      </w:r>
      <w:proofErr w:type="spellEnd"/>
      <w:r w:rsidR="00406102">
        <w:t xml:space="preserve">, reshape, </w:t>
      </w:r>
      <w:proofErr w:type="spellStart"/>
      <w:r w:rsidR="00406102">
        <w:t>mvtnorm</w:t>
      </w:r>
      <w:proofErr w:type="spellEnd"/>
      <w:r w:rsidR="00406102">
        <w:t xml:space="preserve"> by typing: </w:t>
      </w:r>
    </w:p>
    <w:p w:rsidR="00422153" w:rsidRDefault="00406102" w:rsidP="00422153">
      <w:pPr>
        <w:rPr>
          <w:sz w:val="18"/>
          <w:szCs w:val="18"/>
        </w:rPr>
      </w:pPr>
      <w:r>
        <w:tab/>
      </w:r>
      <w:proofErr w:type="spellStart"/>
      <w:r w:rsidR="00422153">
        <w:rPr>
          <w:sz w:val="18"/>
          <w:szCs w:val="18"/>
        </w:rPr>
        <w:t>install.packages</w:t>
      </w:r>
      <w:proofErr w:type="spellEnd"/>
      <w:r w:rsidR="00422153">
        <w:rPr>
          <w:sz w:val="18"/>
          <w:szCs w:val="18"/>
        </w:rPr>
        <w:t>("</w:t>
      </w:r>
      <w:proofErr w:type="spellStart"/>
      <w:r w:rsidR="00422153">
        <w:rPr>
          <w:sz w:val="18"/>
          <w:szCs w:val="18"/>
        </w:rPr>
        <w:t>lsmeans</w:t>
      </w:r>
      <w:proofErr w:type="spellEnd"/>
      <w:r w:rsidR="00422153">
        <w:rPr>
          <w:sz w:val="18"/>
          <w:szCs w:val="18"/>
        </w:rPr>
        <w:t>")</w:t>
      </w:r>
      <w:r w:rsidR="00422153">
        <w:rPr>
          <w:sz w:val="18"/>
          <w:szCs w:val="18"/>
        </w:rPr>
        <w:br/>
      </w:r>
      <w:r w:rsidR="00422153">
        <w:rPr>
          <w:sz w:val="18"/>
          <w:szCs w:val="18"/>
        </w:rPr>
        <w:tab/>
      </w:r>
      <w:proofErr w:type="spellStart"/>
      <w:r w:rsidR="00422153">
        <w:rPr>
          <w:sz w:val="18"/>
          <w:szCs w:val="18"/>
        </w:rPr>
        <w:t>install.packages</w:t>
      </w:r>
      <w:proofErr w:type="spellEnd"/>
      <w:r w:rsidR="00422153">
        <w:rPr>
          <w:sz w:val="18"/>
          <w:szCs w:val="18"/>
        </w:rPr>
        <w:t>("</w:t>
      </w:r>
      <w:proofErr w:type="spellStart"/>
      <w:r w:rsidR="00422153">
        <w:rPr>
          <w:sz w:val="18"/>
          <w:szCs w:val="18"/>
        </w:rPr>
        <w:t>stringr</w:t>
      </w:r>
      <w:proofErr w:type="spellEnd"/>
      <w:r w:rsidR="00422153">
        <w:rPr>
          <w:sz w:val="18"/>
          <w:szCs w:val="18"/>
        </w:rPr>
        <w:t>")</w:t>
      </w:r>
      <w:r w:rsidR="00422153">
        <w:rPr>
          <w:sz w:val="18"/>
          <w:szCs w:val="18"/>
        </w:rPr>
        <w:br/>
      </w:r>
      <w:r w:rsidR="00422153">
        <w:rPr>
          <w:sz w:val="18"/>
          <w:szCs w:val="18"/>
        </w:rPr>
        <w:tab/>
      </w:r>
      <w:proofErr w:type="spellStart"/>
      <w:r w:rsidR="00422153">
        <w:rPr>
          <w:sz w:val="18"/>
          <w:szCs w:val="18"/>
        </w:rPr>
        <w:t>install.packages</w:t>
      </w:r>
      <w:proofErr w:type="spellEnd"/>
      <w:r w:rsidR="00422153">
        <w:rPr>
          <w:sz w:val="18"/>
          <w:szCs w:val="18"/>
        </w:rPr>
        <w:t>("reshape")</w:t>
      </w:r>
      <w:r w:rsidR="00422153">
        <w:rPr>
          <w:sz w:val="18"/>
          <w:szCs w:val="18"/>
        </w:rPr>
        <w:br/>
      </w:r>
      <w:r w:rsidR="00422153">
        <w:rPr>
          <w:sz w:val="18"/>
          <w:szCs w:val="18"/>
        </w:rPr>
        <w:tab/>
      </w:r>
      <w:proofErr w:type="spellStart"/>
      <w:r w:rsidR="00422153">
        <w:rPr>
          <w:sz w:val="18"/>
          <w:szCs w:val="18"/>
        </w:rPr>
        <w:t>install.packages</w:t>
      </w:r>
      <w:proofErr w:type="spellEnd"/>
      <w:r w:rsidR="00422153">
        <w:rPr>
          <w:sz w:val="18"/>
          <w:szCs w:val="18"/>
        </w:rPr>
        <w:t>("</w:t>
      </w:r>
      <w:proofErr w:type="spellStart"/>
      <w:r w:rsidR="00422153">
        <w:rPr>
          <w:sz w:val="18"/>
          <w:szCs w:val="18"/>
        </w:rPr>
        <w:t>mvtnorm</w:t>
      </w:r>
      <w:proofErr w:type="spellEnd"/>
      <w:r w:rsidR="00422153">
        <w:rPr>
          <w:sz w:val="18"/>
          <w:szCs w:val="18"/>
        </w:rPr>
        <w:t>")</w:t>
      </w:r>
    </w:p>
    <w:p w:rsidR="003F3C07" w:rsidRPr="00323465" w:rsidRDefault="00406102" w:rsidP="00422153">
      <w:pPr>
        <w:rPr>
          <w:i/>
        </w:rPr>
      </w:pPr>
      <w:r>
        <w:t>These packages are used in the AMIGA Power analysis tools.</w:t>
      </w:r>
    </w:p>
    <w:p w:rsidR="00722E05" w:rsidRDefault="00722E05" w:rsidP="00722E05">
      <w:pPr>
        <w:pStyle w:val="Heading2"/>
      </w:pPr>
      <w:r>
        <w:lastRenderedPageBreak/>
        <w:t>Installation Steps</w:t>
      </w:r>
    </w:p>
    <w:p w:rsidR="00422153" w:rsidRDefault="00722E05" w:rsidP="00422153">
      <w:r w:rsidRPr="00810EFD">
        <w:rPr>
          <w:b/>
        </w:rPr>
        <w:t xml:space="preserve">Step 1: </w:t>
      </w:r>
      <w:r w:rsidR="00422153">
        <w:t>Double click the appropriate installation file depending on whether your operating system is 32 or 64 bit. (AmigaPowerAnalysis.Installer.Win32.msi or AmigaPowerAnalysis.Installer.Win64.msi).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en-GB"/>
        </w:rPr>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722E05">
      <w:pPr>
        <w:pStyle w:val="Heading1"/>
      </w:pPr>
      <w:r>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187DB4" w:rsidRDefault="00187DB4" w:rsidP="00187DB4">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187DB4" w:rsidRDefault="00187DB4" w:rsidP="00187DB4">
      <w:r>
        <w:t>Endpoints can be of different measurement types:</w:t>
      </w:r>
    </w:p>
    <w:p w:rsidR="00187DB4" w:rsidRDefault="00187DB4" w:rsidP="00187DB4">
      <w:pPr>
        <w:pStyle w:val="ListParagraph"/>
        <w:numPr>
          <w:ilvl w:val="0"/>
          <w:numId w:val="26"/>
        </w:numPr>
      </w:pPr>
      <w:r w:rsidRPr="00231BD6">
        <w:rPr>
          <w:b/>
        </w:rPr>
        <w:t>Count data:</w:t>
      </w:r>
      <w:r>
        <w:t xml:space="preserve"> occurs when the endpoint data is described in terms of the number of organisms found on each experimental unit.</w:t>
      </w:r>
    </w:p>
    <w:p w:rsidR="00187DB4" w:rsidRDefault="00187DB4" w:rsidP="00187DB4">
      <w:pPr>
        <w:pStyle w:val="ListParagraph"/>
        <w:numPr>
          <w:ilvl w:val="0"/>
          <w:numId w:val="26"/>
        </w:numPr>
      </w:pPr>
      <w:r w:rsidRPr="00231BD6">
        <w:rPr>
          <w:b/>
        </w:rPr>
        <w:t>Non-negative data:</w:t>
      </w:r>
      <w:r>
        <w:t xml:space="preserve"> occurs when the measuring time trend curves.</w:t>
      </w:r>
    </w:p>
    <w:p w:rsidR="00187DB4" w:rsidRDefault="00187DB4" w:rsidP="00187DB4">
      <w:pPr>
        <w:pStyle w:val="ListParagraph"/>
        <w:numPr>
          <w:ilvl w:val="0"/>
          <w:numId w:val="26"/>
        </w:numPr>
      </w:pPr>
      <w:r w:rsidRPr="00231BD6">
        <w:rPr>
          <w:b/>
        </w:rPr>
        <w:t>Continuous data:</w:t>
      </w:r>
      <w:r>
        <w:t xml:space="preserve"> occurs when there is no limit on the measurement values.</w:t>
      </w:r>
    </w:p>
    <w:p w:rsidR="000839D9" w:rsidRDefault="000839D9" w:rsidP="000839D9"/>
    <w:tbl>
      <w:tblPr>
        <w:tblStyle w:val="TableGrid"/>
        <w:tblW w:w="9126" w:type="dxa"/>
        <w:jc w:val="center"/>
        <w:tblInd w:w="162" w:type="dxa"/>
        <w:tblLook w:val="04A0" w:firstRow="1" w:lastRow="0" w:firstColumn="1" w:lastColumn="0" w:noHBand="0" w:noVBand="1"/>
      </w:tblPr>
      <w:tblGrid>
        <w:gridCol w:w="1603"/>
        <w:gridCol w:w="1191"/>
        <w:gridCol w:w="1191"/>
        <w:gridCol w:w="1148"/>
        <w:gridCol w:w="3993"/>
      </w:tblGrid>
      <w:tr w:rsidR="000839D9" w:rsidTr="0066079B">
        <w:trPr>
          <w:jc w:val="center"/>
        </w:trPr>
        <w:tc>
          <w:tcPr>
            <w:tcW w:w="1611" w:type="dxa"/>
          </w:tcPr>
          <w:p w:rsidR="000839D9" w:rsidRPr="00BB246D" w:rsidRDefault="000839D9" w:rsidP="0066079B">
            <w:pPr>
              <w:jc w:val="left"/>
              <w:rPr>
                <w:b/>
              </w:rPr>
            </w:pPr>
            <w:r w:rsidRPr="00BB246D">
              <w:rPr>
                <w:b/>
              </w:rPr>
              <w:t>Measurement types</w:t>
            </w:r>
          </w:p>
        </w:tc>
        <w:tc>
          <w:tcPr>
            <w:tcW w:w="1193" w:type="dxa"/>
          </w:tcPr>
          <w:p w:rsidR="000839D9" w:rsidRDefault="000839D9" w:rsidP="0066079B">
            <w:pPr>
              <w:jc w:val="left"/>
              <w:rPr>
                <w:b/>
              </w:rPr>
            </w:pPr>
            <w:r>
              <w:rPr>
                <w:b/>
              </w:rPr>
              <w:t>Constraint</w:t>
            </w:r>
          </w:p>
          <w:p w:rsidR="000839D9" w:rsidRPr="00BB246D" w:rsidRDefault="000839D9" w:rsidP="0066079B">
            <w:pPr>
              <w:jc w:val="left"/>
              <w:rPr>
                <w:b/>
              </w:rPr>
            </w:pPr>
            <w:proofErr w:type="spellStart"/>
            <w:r>
              <w:rPr>
                <w:b/>
              </w:rPr>
              <w:t>loc</w:t>
            </w:r>
            <w:proofErr w:type="spellEnd"/>
            <w:r>
              <w:rPr>
                <w:b/>
              </w:rPr>
              <w:t xml:space="preserve"> lower</w:t>
            </w:r>
          </w:p>
        </w:tc>
        <w:tc>
          <w:tcPr>
            <w:tcW w:w="1193" w:type="dxa"/>
          </w:tcPr>
          <w:p w:rsidR="000839D9" w:rsidRDefault="000839D9" w:rsidP="0066079B">
            <w:pPr>
              <w:jc w:val="left"/>
              <w:rPr>
                <w:b/>
              </w:rPr>
            </w:pPr>
            <w:r>
              <w:rPr>
                <w:b/>
              </w:rPr>
              <w:t>Constraint</w:t>
            </w:r>
          </w:p>
          <w:p w:rsidR="000839D9" w:rsidRPr="00BB246D" w:rsidRDefault="000839D9" w:rsidP="0066079B">
            <w:pPr>
              <w:jc w:val="left"/>
              <w:rPr>
                <w:b/>
              </w:rPr>
            </w:pPr>
            <w:proofErr w:type="spellStart"/>
            <w:r>
              <w:rPr>
                <w:b/>
              </w:rPr>
              <w:t>loc</w:t>
            </w:r>
            <w:proofErr w:type="spellEnd"/>
            <w:r>
              <w:rPr>
                <w:b/>
              </w:rPr>
              <w:t xml:space="preserve"> upper</w:t>
            </w:r>
          </w:p>
        </w:tc>
        <w:tc>
          <w:tcPr>
            <w:tcW w:w="992" w:type="dxa"/>
          </w:tcPr>
          <w:p w:rsidR="000839D9" w:rsidRDefault="000839D9" w:rsidP="0066079B">
            <w:pPr>
              <w:jc w:val="left"/>
              <w:rPr>
                <w:b/>
              </w:rPr>
            </w:pPr>
            <w:r>
              <w:rPr>
                <w:b/>
              </w:rPr>
              <w:t>No difference</w:t>
            </w:r>
          </w:p>
        </w:tc>
        <w:tc>
          <w:tcPr>
            <w:tcW w:w="4137" w:type="dxa"/>
          </w:tcPr>
          <w:p w:rsidR="000839D9" w:rsidRDefault="000839D9" w:rsidP="0066079B">
            <w:pPr>
              <w:jc w:val="left"/>
              <w:rPr>
                <w:b/>
              </w:rPr>
            </w:pPr>
            <w:r>
              <w:rPr>
                <w:b/>
              </w:rPr>
              <w:t>Remarks</w:t>
            </w:r>
          </w:p>
        </w:tc>
      </w:tr>
      <w:tr w:rsidR="000839D9" w:rsidTr="0066079B">
        <w:trPr>
          <w:trHeight w:val="74"/>
          <w:jc w:val="center"/>
        </w:trPr>
        <w:tc>
          <w:tcPr>
            <w:tcW w:w="1611" w:type="dxa"/>
          </w:tcPr>
          <w:p w:rsidR="000839D9" w:rsidRDefault="000839D9" w:rsidP="0066079B">
            <w:pPr>
              <w:jc w:val="left"/>
            </w:pPr>
            <w:r>
              <w:t>Counts</w:t>
            </w:r>
          </w:p>
        </w:tc>
        <w:tc>
          <w:tcPr>
            <w:tcW w:w="1193" w:type="dxa"/>
          </w:tcPr>
          <w:p w:rsidR="000839D9" w:rsidRDefault="000839D9" w:rsidP="0066079B">
            <w:pPr>
              <w:jc w:val="left"/>
            </w:pPr>
            <w:r>
              <w:t>&gt; 0</w:t>
            </w:r>
          </w:p>
        </w:tc>
        <w:tc>
          <w:tcPr>
            <w:tcW w:w="1193" w:type="dxa"/>
          </w:tcPr>
          <w:p w:rsidR="000839D9" w:rsidRDefault="000839D9" w:rsidP="0066079B">
            <w:pPr>
              <w:jc w:val="left"/>
            </w:pPr>
            <w:r>
              <w:t>NA</w:t>
            </w:r>
          </w:p>
        </w:tc>
        <w:tc>
          <w:tcPr>
            <w:tcW w:w="992" w:type="dxa"/>
          </w:tcPr>
          <w:p w:rsidR="000839D9" w:rsidRDefault="000839D9" w:rsidP="0066079B">
            <w:pPr>
              <w:jc w:val="left"/>
            </w:pPr>
            <w:r>
              <w:t>LoC = 1</w:t>
            </w:r>
          </w:p>
        </w:tc>
        <w:tc>
          <w:tcPr>
            <w:tcW w:w="4137" w:type="dxa"/>
          </w:tcPr>
          <w:p w:rsidR="000839D9" w:rsidRDefault="000839D9" w:rsidP="0066079B">
            <w:pPr>
              <w:jc w:val="left"/>
            </w:pPr>
            <w:r>
              <w:t>Suitable when the endpoint data is described in terms of the number of organisms found on each experimental unit.</w:t>
            </w:r>
          </w:p>
          <w:p w:rsidR="000839D9" w:rsidRDefault="000839D9" w:rsidP="0066079B">
            <w:pPr>
              <w:jc w:val="left"/>
            </w:pPr>
            <w:r>
              <w:t>LOC refers to the ratio R of the GMO mean and the CMP mean, i.e., R = µGMO/µCMP.</w:t>
            </w:r>
          </w:p>
        </w:tc>
      </w:tr>
      <w:tr w:rsidR="000839D9" w:rsidTr="0066079B">
        <w:trPr>
          <w:trHeight w:val="283"/>
          <w:jc w:val="center"/>
        </w:trPr>
        <w:tc>
          <w:tcPr>
            <w:tcW w:w="1611" w:type="dxa"/>
          </w:tcPr>
          <w:p w:rsidR="000839D9" w:rsidRDefault="000839D9" w:rsidP="0066079B">
            <w:pPr>
              <w:jc w:val="left"/>
            </w:pPr>
            <w:r>
              <w:t>Fractions</w:t>
            </w:r>
          </w:p>
        </w:tc>
        <w:tc>
          <w:tcPr>
            <w:tcW w:w="1193" w:type="dxa"/>
          </w:tcPr>
          <w:p w:rsidR="000839D9" w:rsidRDefault="000839D9" w:rsidP="0066079B">
            <w:pPr>
              <w:jc w:val="left"/>
            </w:pPr>
            <w:r>
              <w:t>&gt; 0</w:t>
            </w:r>
          </w:p>
        </w:tc>
        <w:tc>
          <w:tcPr>
            <w:tcW w:w="1193" w:type="dxa"/>
          </w:tcPr>
          <w:p w:rsidR="000839D9" w:rsidRDefault="000839D9" w:rsidP="0066079B">
            <w:pPr>
              <w:jc w:val="left"/>
            </w:pPr>
            <w:r>
              <w:t>&lt; 1</w:t>
            </w:r>
          </w:p>
        </w:tc>
        <w:tc>
          <w:tcPr>
            <w:tcW w:w="992" w:type="dxa"/>
          </w:tcPr>
          <w:p w:rsidR="000839D9" w:rsidRDefault="000839D9" w:rsidP="0066079B">
            <w:pPr>
              <w:jc w:val="left"/>
            </w:pPr>
            <w:r>
              <w:t>LoC = 1</w:t>
            </w:r>
          </w:p>
        </w:tc>
        <w:tc>
          <w:tcPr>
            <w:tcW w:w="4137" w:type="dxa"/>
          </w:tcPr>
          <w:p w:rsidR="000839D9" w:rsidRDefault="000839D9" w:rsidP="0066079B">
            <w:pPr>
              <w:jc w:val="left"/>
            </w:pPr>
            <w:r>
              <w:t>Appropriate for presence/absence data, which are fractions (k out of n) and are therefore bounded by 0 and 1.</w:t>
            </w:r>
          </w:p>
          <w:p w:rsidR="000839D9" w:rsidRDefault="000839D9" w:rsidP="0066079B">
            <w:pPr>
              <w:jc w:val="left"/>
            </w:pPr>
            <w:r>
              <w:t>LOC refers to the odds ratio OR. The odds ratio is the ratio of the odds to have a positive result for the GMO (P(1|GMO)/P(0|GMO)) relative to the corresponding odds for the CMP, i.e., OR = P(1|GMO)/P(0|GMO) / P(1|CMP)/P(0|CMP).</w:t>
            </w:r>
          </w:p>
        </w:tc>
      </w:tr>
      <w:tr w:rsidR="000839D9" w:rsidTr="0066079B">
        <w:trPr>
          <w:jc w:val="center"/>
        </w:trPr>
        <w:tc>
          <w:tcPr>
            <w:tcW w:w="1611" w:type="dxa"/>
          </w:tcPr>
          <w:p w:rsidR="000839D9" w:rsidRDefault="000839D9" w:rsidP="0066079B">
            <w:pPr>
              <w:jc w:val="left"/>
            </w:pPr>
            <w:r>
              <w:lastRenderedPageBreak/>
              <w:t>Nonnegative</w:t>
            </w:r>
          </w:p>
        </w:tc>
        <w:tc>
          <w:tcPr>
            <w:tcW w:w="1193" w:type="dxa"/>
          </w:tcPr>
          <w:p w:rsidR="000839D9" w:rsidRDefault="000839D9" w:rsidP="0066079B">
            <w:pPr>
              <w:jc w:val="left"/>
            </w:pPr>
            <w:r>
              <w:t>&gt; 0</w:t>
            </w:r>
          </w:p>
        </w:tc>
        <w:tc>
          <w:tcPr>
            <w:tcW w:w="1193" w:type="dxa"/>
          </w:tcPr>
          <w:p w:rsidR="000839D9" w:rsidRDefault="000839D9" w:rsidP="0066079B">
            <w:pPr>
              <w:keepNext/>
              <w:jc w:val="left"/>
            </w:pPr>
            <w:r>
              <w:t>NA</w:t>
            </w:r>
          </w:p>
        </w:tc>
        <w:tc>
          <w:tcPr>
            <w:tcW w:w="992" w:type="dxa"/>
          </w:tcPr>
          <w:p w:rsidR="000839D9" w:rsidRDefault="000839D9" w:rsidP="0066079B">
            <w:pPr>
              <w:keepNext/>
              <w:jc w:val="left"/>
            </w:pPr>
            <w:r>
              <w:t>LoC = 0</w:t>
            </w:r>
          </w:p>
        </w:tc>
        <w:tc>
          <w:tcPr>
            <w:tcW w:w="4137" w:type="dxa"/>
          </w:tcPr>
          <w:p w:rsidR="000839D9" w:rsidRDefault="000839D9" w:rsidP="0066079B">
            <w:pPr>
              <w:keepNext/>
              <w:jc w:val="left"/>
            </w:pPr>
            <w:r>
              <w:t>For parameters of time trend curves.</w:t>
            </w:r>
          </w:p>
          <w:p w:rsidR="000839D9" w:rsidRDefault="000839D9" w:rsidP="0066079B">
            <w:pPr>
              <w:keepNext/>
              <w:jc w:val="left"/>
            </w:pPr>
            <w:r>
              <w:t xml:space="preserve">LOC refers to a difference between the parameters, i.e., D = </w:t>
            </w:r>
            <w:proofErr w:type="spellStart"/>
            <w:r>
              <w:t>ϑGMO</w:t>
            </w:r>
            <w:proofErr w:type="spellEnd"/>
            <w:r>
              <w:t xml:space="preserve"> – </w:t>
            </w:r>
            <w:proofErr w:type="spellStart"/>
            <w:r>
              <w:t>ϑCMP</w:t>
            </w:r>
            <w:proofErr w:type="spellEnd"/>
            <w:r>
              <w:t>.</w:t>
            </w:r>
          </w:p>
        </w:tc>
      </w:tr>
      <w:tr w:rsidR="000839D9" w:rsidTr="0066079B">
        <w:trPr>
          <w:jc w:val="center"/>
        </w:trPr>
        <w:tc>
          <w:tcPr>
            <w:tcW w:w="1611" w:type="dxa"/>
          </w:tcPr>
          <w:p w:rsidR="000839D9" w:rsidRDefault="000839D9" w:rsidP="0066079B">
            <w:pPr>
              <w:jc w:val="left"/>
            </w:pPr>
            <w:proofErr w:type="spellStart"/>
            <w:r>
              <w:t>Continous</w:t>
            </w:r>
            <w:proofErr w:type="spellEnd"/>
          </w:p>
        </w:tc>
        <w:tc>
          <w:tcPr>
            <w:tcW w:w="1193" w:type="dxa"/>
          </w:tcPr>
          <w:p w:rsidR="000839D9" w:rsidRDefault="000839D9" w:rsidP="0066079B">
            <w:pPr>
              <w:jc w:val="left"/>
            </w:pPr>
            <w:r>
              <w:t>NA</w:t>
            </w:r>
          </w:p>
        </w:tc>
        <w:tc>
          <w:tcPr>
            <w:tcW w:w="1193" w:type="dxa"/>
          </w:tcPr>
          <w:p w:rsidR="000839D9" w:rsidRDefault="000839D9" w:rsidP="0066079B">
            <w:pPr>
              <w:keepNext/>
              <w:jc w:val="left"/>
            </w:pPr>
            <w:r>
              <w:t>NA</w:t>
            </w:r>
          </w:p>
        </w:tc>
        <w:tc>
          <w:tcPr>
            <w:tcW w:w="992" w:type="dxa"/>
          </w:tcPr>
          <w:p w:rsidR="000839D9" w:rsidRDefault="000839D9" w:rsidP="0066079B">
            <w:pPr>
              <w:keepNext/>
              <w:jc w:val="left"/>
            </w:pPr>
            <w:r>
              <w:t>LoC = 0</w:t>
            </w:r>
          </w:p>
        </w:tc>
        <w:tc>
          <w:tcPr>
            <w:tcW w:w="4137" w:type="dxa"/>
          </w:tcPr>
          <w:p w:rsidR="000839D9" w:rsidRDefault="000839D9" w:rsidP="0066079B">
            <w:pPr>
              <w:keepNext/>
              <w:jc w:val="left"/>
            </w:pPr>
          </w:p>
        </w:tc>
      </w:tr>
    </w:tbl>
    <w:p w:rsidR="000839D9" w:rsidRDefault="000839D9" w:rsidP="000839D9">
      <w:pPr>
        <w:pStyle w:val="Caption"/>
      </w:pPr>
      <w:r>
        <w:t xml:space="preserve">Table </w:t>
      </w:r>
      <w:r>
        <w:fldChar w:fldCharType="begin"/>
      </w:r>
      <w:r>
        <w:instrText xml:space="preserve"> SEQ Table \* ARABIC </w:instrText>
      </w:r>
      <w:r>
        <w:fldChar w:fldCharType="separate"/>
      </w:r>
      <w:r>
        <w:rPr>
          <w:noProof/>
        </w:rPr>
        <w:t>2</w:t>
      </w:r>
      <w:r>
        <w:rPr>
          <w:noProof/>
        </w:rPr>
        <w:fldChar w:fldCharType="end"/>
      </w:r>
    </w:p>
    <w:p w:rsidR="00C86DCE" w:rsidRDefault="00187DB4" w:rsidP="00C86DCE">
      <w:bookmarkStart w:id="0" w:name="_GoBack"/>
      <w:bookmarkEnd w:id="0"/>
      <w:r>
        <w:t>An essential part of ERA is that for each endpoint, it should be decided beforehand which levels of difference between the test-variety and the comparator are still acceptable, and at what level, a difference becomes too high to be ignored.</w:t>
      </w:r>
      <w:r w:rsidR="001C5244">
        <w:t xml:space="preserve"> </w:t>
      </w:r>
      <w:r>
        <w:t>In this software, these limits are defined in terms of limits of concern (LoCs).</w:t>
      </w:r>
      <w:r w:rsidR="001C5244">
        <w:t xml:space="preserve"> </w:t>
      </w:r>
      <w:r>
        <w:t>Limits of Concern are ratios of the expected values for the Test-Variety and the Comparator. Within these limits there is no concern about safety.</w:t>
      </w:r>
      <w:r w:rsidR="009F64B9">
        <w:t xml:space="preserve"> </w:t>
      </w:r>
      <w:r w:rsidR="00C86DCE">
        <w:t>Provide a lower LoC, an upper LoC, or both. Unspecified (</w:t>
      </w:r>
      <w:proofErr w:type="spellStart"/>
      <w:r w:rsidR="00C86DCE">
        <w:t>NaN</w:t>
      </w:r>
      <w:proofErr w:type="spellEnd"/>
      <w:r w:rsidR="00C86DCE">
        <w:t>) means no concern for changes in that direction.</w:t>
      </w:r>
    </w:p>
    <w:p w:rsidR="00C86DCE" w:rsidRDefault="00C86DCE" w:rsidP="00C86DCE">
      <w:pPr>
        <w:pStyle w:val="Heading2"/>
      </w:pPr>
      <w:r>
        <w:t>Endpoints data</w:t>
      </w:r>
    </w:p>
    <w:p w:rsidR="00F87246" w:rsidRDefault="00C86DCE" w:rsidP="00C86DCE">
      <w:r>
        <w:t>For each endpoint, if needed adapt its distribution type, the binomial total (for fracti</w:t>
      </w:r>
      <w:r w:rsidR="007B734F">
        <w:t>ons), and the power (for Taylor’</w:t>
      </w:r>
      <w:r>
        <w:t>s Power law distribution).</w:t>
      </w:r>
    </w:p>
    <w:p w:rsidR="00F87246" w:rsidRDefault="00F87246" w:rsidP="00F87246">
      <w:r>
        <w:t>If needed adapt expected values of mean and coefficient of variation (CV) for the comparator variety. Note that the CV will be increased if incompatible with distribution type and mean.</w:t>
      </w:r>
    </w:p>
    <w:p w:rsidR="00F87246" w:rsidRDefault="00F87246" w:rsidP="00C86DCE">
      <w:r>
        <w:t>The table below shows the distribution models that are available per measurement type.</w:t>
      </w:r>
    </w:p>
    <w:tbl>
      <w:tblPr>
        <w:tblStyle w:val="TableGrid"/>
        <w:tblW w:w="8217" w:type="dxa"/>
        <w:jc w:val="center"/>
        <w:tblInd w:w="672" w:type="dxa"/>
        <w:tblLook w:val="04A0" w:firstRow="1" w:lastRow="0" w:firstColumn="1" w:lastColumn="0" w:noHBand="0" w:noVBand="1"/>
      </w:tblPr>
      <w:tblGrid>
        <w:gridCol w:w="1806"/>
        <w:gridCol w:w="2007"/>
        <w:gridCol w:w="1448"/>
        <w:gridCol w:w="1361"/>
        <w:gridCol w:w="1595"/>
      </w:tblGrid>
      <w:tr w:rsidR="00F87246" w:rsidRPr="00F87246" w:rsidTr="008516A1">
        <w:trPr>
          <w:jc w:val="center"/>
        </w:trPr>
        <w:tc>
          <w:tcPr>
            <w:tcW w:w="1991"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Measurement type</w:t>
            </w:r>
          </w:p>
        </w:tc>
        <w:tc>
          <w:tcPr>
            <w:tcW w:w="2315"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Model</w:t>
            </w:r>
          </w:p>
        </w:tc>
        <w:tc>
          <w:tcPr>
            <w:tcW w:w="1536"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Distribution p</w:t>
            </w:r>
            <w:r w:rsidRPr="00F87246">
              <w:rPr>
                <w:rFonts w:asciiTheme="minorHAnsi" w:hAnsiTheme="minorHAnsi" w:cs="Times New Roman"/>
                <w:b/>
                <w:szCs w:val="22"/>
              </w:rPr>
              <w:t>arameters</w:t>
            </w:r>
          </w:p>
        </w:tc>
        <w:tc>
          <w:tcPr>
            <w:tcW w:w="1403"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Restrictions</w:t>
            </w:r>
          </w:p>
        </w:tc>
        <w:tc>
          <w:tcPr>
            <w:tcW w:w="972"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Recommended</w:t>
            </w:r>
          </w:p>
        </w:tc>
      </w:tr>
      <w:tr w:rsidR="00F87246" w:rsidRPr="00F87246" w:rsidTr="008516A1">
        <w:trPr>
          <w:trHeight w:val="270"/>
          <w:jc w:val="center"/>
        </w:trPr>
        <w:tc>
          <w:tcPr>
            <w:tcW w:w="1991" w:type="dxa"/>
            <w:vMerge w:val="restart"/>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Counts</w:t>
            </w: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Overdispersed</w:t>
            </w:r>
            <w:proofErr w:type="spellEnd"/>
            <w:r w:rsidRPr="00F87246">
              <w:rPr>
                <w:rFonts w:asciiTheme="minorHAnsi" w:hAnsiTheme="minorHAnsi" w:cs="Times New Roman"/>
                <w:szCs w:val="22"/>
              </w:rPr>
              <w:t xml:space="preserve"> 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Times New Roman"/>
                <w:szCs w:val="22"/>
              </w:rPr>
              <w:tab/>
              <w:t>·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Negative Binomial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Consolas"/>
                <w:color w:val="000000"/>
                <w:szCs w:val="22"/>
              </w:rPr>
              <w:t xml:space="preserve"> – 1/</w:t>
            </w:r>
            <w:r w:rsidRPr="00F87246">
              <w:rPr>
                <w:rFonts w:asciiTheme="minorHAnsi" w:hAnsiTheme="minorHAnsi" w:cs="Times New Roman"/>
                <w:szCs w:val="22"/>
              </w:rPr>
              <w:t>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shape = 1 / ω</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scale = ω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Poisson-Lognormal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1/</w:t>
            </w:r>
            <w:r w:rsidRPr="00F87246">
              <w:rPr>
                <w:rFonts w:asciiTheme="minorHAnsi" w:eastAsia="Times New Roman" w:hAnsiTheme="minorHAnsi" w:cs="Courier New"/>
                <w:szCs w:val="22"/>
                <w:lang w:eastAsia="en-GB"/>
              </w:rPr>
              <w:t>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Power model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w:t>
            </w:r>
            <w:r w:rsidRPr="00F87246">
              <w:rPr>
                <w:rFonts w:asciiTheme="minorHAnsi" w:eastAsia="Times New Roman" w:hAnsiTheme="minorHAnsi" w:cs="Courier New"/>
                <w:szCs w:val="22"/>
                <w:lang w:eastAsia="en-GB"/>
              </w:rPr>
              <w:t>µ</w:t>
            </w:r>
            <w:r w:rsidRPr="00F87246">
              <w:rPr>
                <w:rFonts w:asciiTheme="minorHAnsi" w:eastAsia="Times New Roman" w:hAnsiTheme="minorHAnsi" w:cs="Courier New"/>
                <w:szCs w:val="22"/>
                <w:vertAlign w:val="superscript"/>
                <w:lang w:eastAsia="en-GB"/>
              </w:rPr>
              <w:t>2-p</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Nonnegative</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Log-normal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=|µ · cv|</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jc w:val="center"/>
        </w:trPr>
        <w:tc>
          <w:tcPr>
            <w:tcW w:w="1991" w:type="dxa"/>
          </w:tcPr>
          <w:p w:rsidR="00F87246" w:rsidRPr="00F87246" w:rsidRDefault="00A41762" w:rsidP="00F87246">
            <w:pPr>
              <w:rPr>
                <w:rFonts w:asciiTheme="minorHAnsi" w:hAnsiTheme="minorHAnsi" w:cs="Times New Roman"/>
                <w:szCs w:val="22"/>
              </w:rPr>
            </w:pPr>
            <w:r w:rsidRPr="00F87246">
              <w:rPr>
                <w:rFonts w:asciiTheme="minorHAnsi" w:hAnsiTheme="minorHAnsi" w:cs="Times New Roman"/>
                <w:szCs w:val="22"/>
              </w:rPr>
              <w:t>Continuous</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 |µ · cv|</w:t>
            </w:r>
          </w:p>
        </w:tc>
        <w:tc>
          <w:tcPr>
            <w:tcW w:w="1403" w:type="dxa"/>
          </w:tcPr>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bl>
    <w:p w:rsidR="00C86DCE" w:rsidRDefault="00C86DCE" w:rsidP="00C86DCE">
      <w:pPr>
        <w:pStyle w:val="Heading2"/>
      </w:pPr>
      <w:r>
        <w:t>Factors</w:t>
      </w:r>
    </w:p>
    <w:p w:rsidR="00172CE6" w:rsidRDefault="00172CE6" w:rsidP="00172CE6">
      <w:r>
        <w:t>The main factor in variety-comparative evaluation experiments is always variety, with at least the levels test-variety and comparator. If the design contains more varieties, these can be expressed as additional variety levels.</w:t>
      </w:r>
    </w:p>
    <w:p w:rsidR="00172CE6" w:rsidRDefault="00172CE6" w:rsidP="00172CE6">
      <w:r>
        <w:t>If the design contains more factors (e.g. spraying treatments), add additional rows in the Factor table, and specify the levels and relative frequencies in the Levels table.</w:t>
      </w:r>
    </w:p>
    <w:p w:rsidR="00172CE6" w:rsidRDefault="00172CE6" w:rsidP="00172CE6">
      <w:r>
        <w:t>Unequal numbers of plots per variety, or for specific other factor level can be corrected by using (relative) frequencies. If numbers of plots per variety are not equal, change the (relative) frequencies.</w:t>
      </w:r>
    </w:p>
    <w:p w:rsidR="00C86DCE" w:rsidRDefault="00C86DCE" w:rsidP="00C86DCE">
      <w:pPr>
        <w:pStyle w:val="Heading2"/>
      </w:pPr>
      <w:r>
        <w:t>Design</w:t>
      </w:r>
    </w:p>
    <w:p w:rsidR="003060EE" w:rsidRDefault="00EB05E4" w:rsidP="00C86DCE">
      <w:r>
        <w:t>Two design types are supported:  completely randomized, and randomized complete blocks. This tab allows you to s</w:t>
      </w:r>
      <w:r w:rsidR="00C86DCE" w:rsidRPr="00C86DCE">
        <w:t>pecify the t</w:t>
      </w:r>
      <w:r w:rsidR="003060EE">
        <w:t>ype of experimental design.</w:t>
      </w:r>
    </w:p>
    <w:p w:rsidR="003060EE" w:rsidRDefault="003060EE" w:rsidP="003060EE">
      <w:pPr>
        <w:pStyle w:val="Heading2"/>
      </w:pPr>
      <w:r>
        <w:lastRenderedPageBreak/>
        <w:t>Define comparisons</w:t>
      </w:r>
    </w:p>
    <w:p w:rsidR="00B2309C" w:rsidRDefault="00C86DCE" w:rsidP="00C86DCE">
      <w:r w:rsidRPr="00C86DCE">
        <w:t xml:space="preserve">When other factors have been specified, the </w:t>
      </w:r>
      <w:r w:rsidR="003060EE">
        <w:t>comparisons between Test-Variety and the Comparator</w:t>
      </w:r>
      <w:r w:rsidRPr="00C86DCE">
        <w:t xml:space="preserve"> can be expected to be the same for all levels of such a factor (no interacti</w:t>
      </w:r>
      <w:r w:rsidR="00B2309C">
        <w:t>on) or different (interaction).</w:t>
      </w:r>
    </w:p>
    <w:p w:rsidR="00B2309C" w:rsidRDefault="00B2309C" w:rsidP="00C86DCE">
      <w:r>
        <w:t>I</w:t>
      </w:r>
      <w:r w:rsidRPr="00C86DCE">
        <w:t>f such interactions are expected</w:t>
      </w:r>
      <w:r>
        <w:t>, select the factors for which this is the case, and deselect the levels for which there is an interaction between test-variety/comparator.</w:t>
      </w:r>
    </w:p>
    <w:p w:rsidR="00C86DCE" w:rsidRDefault="00B2309C" w:rsidP="00C86DCE">
      <w:r>
        <w:t>If the comparisons are different for all/some endpoints, u</w:t>
      </w:r>
      <w:r w:rsidR="00C86DCE" w:rsidRPr="00C86DCE">
        <w:t>ncheck the box 'Use</w:t>
      </w:r>
      <w:r w:rsidR="00330B94">
        <w:t xml:space="preserve"> interactions for all endpoints</w:t>
      </w:r>
      <w:r w:rsidR="00632BFE">
        <w:t>’</w:t>
      </w:r>
      <w:r w:rsidR="00C86DCE" w:rsidRPr="00C86DCE">
        <w:t xml:space="preserve"> will allow you to specify specific endpoints in the next screen. Note: Interactions with Variety will lower the effective replication, because comparisons are now needed at the separate levels of the other factor. </w:t>
      </w:r>
    </w:p>
    <w:p w:rsidR="00C86DCE" w:rsidRDefault="004A4A5E" w:rsidP="00C86DCE">
      <w:pPr>
        <w:pStyle w:val="Heading2"/>
      </w:pPr>
      <w:r>
        <w:t>Define c</w:t>
      </w:r>
      <w:r w:rsidR="00C86DCE">
        <w:t>omparisons</w:t>
      </w:r>
      <w:r>
        <w:t xml:space="preserve"> per endpoint</w:t>
      </w:r>
    </w:p>
    <w:p w:rsidR="00C86DCE" w:rsidRDefault="004A4A5E" w:rsidP="00C86DCE">
      <w:r>
        <w:t>This tab allows you to specify/modify the comparisons per endpoint.</w:t>
      </w:r>
    </w:p>
    <w:p w:rsidR="0050777C" w:rsidRDefault="0050777C" w:rsidP="00C86DCE">
      <w:pPr>
        <w:pStyle w:val="Heading2"/>
      </w:pPr>
      <w:r>
        <w:t>Additional means</w:t>
      </w:r>
    </w:p>
    <w:p w:rsidR="0050777C" w:rsidRPr="0050777C" w:rsidRDefault="0050777C" w:rsidP="0050777C">
      <w:r w:rsidRPr="0050777C">
        <w:t xml:space="preserve">There are data which are not directly involved in the comparison </w:t>
      </w:r>
      <w:r>
        <w:t xml:space="preserve">test-variety </w:t>
      </w:r>
      <w:r w:rsidRPr="0050777C">
        <w:t xml:space="preserve">to </w:t>
      </w:r>
      <w:r>
        <w:t>comparator</w:t>
      </w:r>
      <w:r w:rsidRPr="0050777C">
        <w:t>. Such data may be useful for pooling variance estimates, but the usefulness may depend on the expected means. Indicate if you expect less informative data due to low means. If so, specify expected mean values.</w:t>
      </w:r>
    </w:p>
    <w:p w:rsidR="00C86DCE" w:rsidRDefault="00535289" w:rsidP="00C86DCE">
      <w:pPr>
        <w:pStyle w:val="Heading2"/>
      </w:pPr>
      <w:r>
        <w:t>Factor m</w:t>
      </w:r>
      <w:r w:rsidR="00C86DCE">
        <w:t>odifiers</w:t>
      </w:r>
    </w:p>
    <w:p w:rsidR="00531942" w:rsidRDefault="00531942" w:rsidP="00531942">
      <w:r>
        <w:t>The power of tests will be lower if data are uninformative or less informative, e.g. if counts are very low (&lt;5). In principle, the already specified Comparator Means and CVs are sufficient to perform the power analysis. However, it should be specified if other factors in the design are expected to make part of the data less informative.</w:t>
      </w:r>
    </w:p>
    <w:p w:rsidR="00531942" w:rsidRDefault="00531942" w:rsidP="00531942">
      <w:r>
        <w:t>For fixed factors, provide multiplication factors for factor levels where data may become less informative (e.g. counts less than 5).</w:t>
      </w:r>
      <w:r w:rsidRPr="00C86DCE">
        <w:t xml:space="preserve"> </w:t>
      </w:r>
    </w:p>
    <w:p w:rsidR="003265E9" w:rsidRDefault="003265E9" w:rsidP="003265E9">
      <w:r>
        <w:t>A restriction for the modifiers is that the joint effect of the modifiers should be neutral:</w:t>
      </w:r>
    </w:p>
    <w:p w:rsidR="003265E9" w:rsidRPr="0088199B" w:rsidRDefault="00113AFE"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=μ</m:t>
          </m:r>
        </m:oMath>
      </m:oMathPara>
    </w:p>
    <w:p w:rsidR="003265E9" w:rsidRDefault="003265E9" w:rsidP="00C86DCE">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701002" w:rsidRDefault="00113AFE"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w:r w:rsidR="00701002">
        <w:t xml:space="preserve"> .</w:t>
      </w:r>
    </w:p>
    <w:p w:rsidR="00635D17" w:rsidRDefault="00635D17" w:rsidP="00635D17">
      <w:r>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from the other levels as</w:t>
      </w:r>
    </w:p>
    <w:p w:rsidR="00524EF3" w:rsidRDefault="00113AFE"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701002">
        <w:t xml:space="preserve"> </w:t>
      </w:r>
      <w:r w:rsidR="00635D17">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t xml:space="preserve"> and from this follows an upper bound the following upper bound</w:t>
      </w:r>
    </w:p>
    <w:p w:rsidR="00635D17" w:rsidRPr="00EA75E6" w:rsidRDefault="00113AFE"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701002">
        <w:t xml:space="preserve"> </w:t>
      </w:r>
      <w:r w:rsidR="00524EF3">
        <w:t>.</w:t>
      </w:r>
    </w:p>
    <w:p w:rsidR="00EA75E6" w:rsidRDefault="001B772E" w:rsidP="00EA75E6">
      <w:pPr>
        <w:pStyle w:val="Heading3"/>
        <w:ind w:left="709"/>
      </w:pPr>
      <w:r>
        <w:t>Modifiers for fractions</w:t>
      </w:r>
    </w:p>
    <w:p w:rsidR="00EA75E6" w:rsidRDefault="003265E9" w:rsidP="00EA75E6">
      <w:r>
        <w:t xml:space="preserve">For fractions,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A6799E" w:rsidRDefault="00113AFE"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w:r w:rsidR="00701002">
        <w:t xml:space="preserve"> </w:t>
      </w:r>
      <w:r w:rsidR="00524EF3">
        <w:t>.</w:t>
      </w:r>
    </w:p>
    <w:p w:rsidR="00A27F80" w:rsidRDefault="00A27F80" w:rsidP="00A27F80">
      <w:r>
        <w:t>Following the restriction</w:t>
      </w:r>
      <w:r w:rsidR="00635D17">
        <w:t xml:space="preserve"> that the joint effect should be neutral</w:t>
      </w:r>
      <w:r>
        <w:t xml:space="preserve">,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w:t>
      </w:r>
      <w:r w:rsidR="00635D17">
        <w:t>from the other levels as</w:t>
      </w:r>
    </w:p>
    <w:p w:rsidR="00A27F80" w:rsidRDefault="00113AFE" w:rsidP="00701002">
      <w:pPr>
        <w:jc w:val="center"/>
      </w:pPr>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w:r w:rsidR="00701002">
        <w:t xml:space="preserve"> </w:t>
      </w:r>
      <w:r w:rsidR="00635D17">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Default="00113AFE" w:rsidP="00701002">
      <w:pPr>
        <w:jc w:val="center"/>
      </w:pPr>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w:r w:rsidR="00701002">
        <w:t xml:space="preserve"> </w:t>
      </w:r>
      <w:r w:rsidR="00D93298">
        <w:t>.</w:t>
      </w:r>
    </w:p>
    <w:p w:rsidR="00D93298" w:rsidRDefault="00D93298" w:rsidP="00C86DCE">
      <w:r>
        <w:t>However, for this measurement type, the modifier will have no effect on the power analysis.</w:t>
      </w:r>
    </w:p>
    <w:p w:rsidR="00037391" w:rsidRDefault="00037391" w:rsidP="00C86DCE">
      <w:pPr>
        <w:pStyle w:val="Heading2"/>
      </w:pPr>
      <w:r>
        <w:t>Block modifiers</w:t>
      </w:r>
    </w:p>
    <w:p w:rsidR="00037391" w:rsidRPr="00037391" w:rsidRDefault="007F0324" w:rsidP="00037391">
      <w:r>
        <w:t>For randomized complete block designs, it may be that there large differences between blocks, causing part of the data to be less informative. If this is the case, then use this tab to specify the variation between blocks in terms of a CV (%).</w:t>
      </w:r>
    </w:p>
    <w:p w:rsidR="00C86DCE" w:rsidRDefault="008F6B77" w:rsidP="00C86DCE">
      <w:pPr>
        <w:pStyle w:val="Heading2"/>
      </w:pPr>
      <w:r>
        <w:t>Analysis</w:t>
      </w:r>
    </w:p>
    <w:p w:rsidR="006C1236" w:rsidRDefault="006C1236" w:rsidP="006C1236">
      <w:r>
        <w:t>Specify how to perform the power analysis and which methods of analysis are to be compared. In simple cases (continuous and non-negative with log(</w:t>
      </w:r>
      <w:proofErr w:type="spellStart"/>
      <w:r>
        <w:t>x+m</w:t>
      </w:r>
      <w:proofErr w:type="spellEnd"/>
      <w:r>
        <w:t>) method) a direct calculation is made. For other cases results can be based on Simulation, but it is advised first to use the Approximate method (Lyles et al.  2007) because it is much faster.</w:t>
      </w:r>
    </w:p>
    <w:p w:rsidR="006C1236" w:rsidRDefault="006C1236" w:rsidP="006C1236">
      <w:r>
        <w:t xml:space="preserve">For count data it is suggested to use the log(N+1) method for the difference tests and the Log-linear model with </w:t>
      </w:r>
      <w:proofErr w:type="spellStart"/>
      <w:r>
        <w:t>overdispersion</w:t>
      </w:r>
      <w:proofErr w:type="spellEnd"/>
      <w:r>
        <w:t xml:space="preserve"> for the equivalence tests.</w:t>
      </w:r>
    </w:p>
    <w:p w:rsidR="006C1236" w:rsidRDefault="006C1236" w:rsidP="006C1236">
      <w:r>
        <w:t>For non-negative data it is suggested to use the log(</w:t>
      </w:r>
      <w:proofErr w:type="spellStart"/>
      <w:r>
        <w:t>x+m</w:t>
      </w:r>
      <w:proofErr w:type="spellEnd"/>
      <w:r>
        <w:t>) method for the difference tests and the Gamma model for the equivalence tests. (Note: Approximate method not yet available for gamma)</w:t>
      </w:r>
      <w:r w:rsidR="00202C0B">
        <w:t>.</w:t>
      </w:r>
    </w:p>
    <w:p w:rsidR="00202C0B" w:rsidRDefault="00202C0B" w:rsidP="006C1236">
      <w:r>
        <w:t>Two types of statistical tests are considered: the difference test and the equivalence test.</w:t>
      </w:r>
    </w:p>
    <w:p w:rsidR="00202C0B" w:rsidRDefault="00202C0B" w:rsidP="006C1236">
      <w:r>
        <w:t>Difference test:</w:t>
      </w:r>
    </w:p>
    <w:p w:rsidR="00202C0B" w:rsidRDefault="00202C0B" w:rsidP="00202C0B">
      <w:r>
        <w:t>H0: µ</w:t>
      </w:r>
      <w:r w:rsidRPr="00202C0B">
        <w:rPr>
          <w:vertAlign w:val="subscript"/>
        </w:rPr>
        <w:t>1</w:t>
      </w:r>
      <w:r>
        <w:t xml:space="preserve"> = µ</w:t>
      </w:r>
      <w:r w:rsidRPr="00202C0B">
        <w:rPr>
          <w:vertAlign w:val="subscript"/>
        </w:rPr>
        <w:t>2</w:t>
      </w:r>
      <w:r>
        <w:t xml:space="preserve"> against HA: µ</w:t>
      </w:r>
      <w:r w:rsidRPr="00202C0B">
        <w:rPr>
          <w:vertAlign w:val="subscript"/>
        </w:rPr>
        <w:t>1</w:t>
      </w:r>
      <w:r>
        <w:t xml:space="preserve"> ≠ µ</w:t>
      </w:r>
      <w:r w:rsidRPr="00202C0B">
        <w:rPr>
          <w:vertAlign w:val="subscript"/>
        </w:rPr>
        <w:t>2</w:t>
      </w:r>
    </w:p>
    <w:p w:rsidR="00202C0B" w:rsidRDefault="00202C0B" w:rsidP="006C1236">
      <w:r>
        <w:t>Equivalence test:</w:t>
      </w:r>
    </w:p>
    <w:p w:rsidR="00202C0B" w:rsidRDefault="00202C0B" w:rsidP="006C1236">
      <w:r>
        <w:t>H0: µ</w:t>
      </w:r>
      <w:r w:rsidRPr="00202C0B">
        <w:rPr>
          <w:vertAlign w:val="subscript"/>
        </w:rPr>
        <w:t>1</w:t>
      </w:r>
      <w:r>
        <w:t xml:space="preserve"> ≠ µ</w:t>
      </w:r>
      <w:r w:rsidRPr="00202C0B">
        <w:rPr>
          <w:vertAlign w:val="subscript"/>
        </w:rPr>
        <w:t>2</w:t>
      </w:r>
      <w:r>
        <w:t xml:space="preserve"> against HA: µ</w:t>
      </w:r>
      <w:r w:rsidRPr="00202C0B">
        <w:rPr>
          <w:vertAlign w:val="subscript"/>
        </w:rPr>
        <w:t>1</w:t>
      </w:r>
      <w:r>
        <w:t xml:space="preserve"> = µ</w:t>
      </w:r>
      <w:r w:rsidRPr="00202C0B">
        <w:rPr>
          <w:vertAlign w:val="subscript"/>
        </w:rPr>
        <w:t>2</w:t>
      </w:r>
    </w:p>
    <w:p w:rsidR="002C2410" w:rsidRDefault="002C2410" w:rsidP="00C86DCE">
      <w:pPr>
        <w:pStyle w:val="Heading2"/>
      </w:pPr>
      <w:r>
        <w:t>Output</w:t>
      </w:r>
    </w:p>
    <w:p w:rsidR="002C2410" w:rsidRPr="002C2410" w:rsidRDefault="002C2410" w:rsidP="002C2410">
      <w:r w:rsidRPr="002C2410">
        <w:t>This panel shows the power analysis outputs that are produced within this project. Select an output and press load to set this output as the default output of the project and to view the results.</w:t>
      </w:r>
    </w:p>
    <w:p w:rsidR="00C86DCE" w:rsidRDefault="00D044A3" w:rsidP="00C86DCE">
      <w:pPr>
        <w:pStyle w:val="Heading2"/>
      </w:pPr>
      <w:r>
        <w:t>Results per comparison</w:t>
      </w:r>
    </w:p>
    <w:p w:rsidR="00D044A3" w:rsidRDefault="00D044A3" w:rsidP="00D044A3">
      <w:r>
        <w:t>Choose endpoint in table. Choose method of analysis if more have been investigated. Power is shown for difference tests or equivalence tests, and as a function of the number of replicates or the Ratio Test/Comp (on a ln scale).</w:t>
      </w:r>
    </w:p>
    <w:p w:rsidR="00D044A3" w:rsidRDefault="00D044A3" w:rsidP="00D044A3">
      <w:r>
        <w:t>Note: Number of plots in design is Number of replicates times Number of plots per block</w:t>
      </w:r>
      <w:r w:rsidR="00475EF5">
        <w:t>.</w:t>
      </w:r>
    </w:p>
    <w:p w:rsidR="00C86DCE" w:rsidRDefault="00C86DCE" w:rsidP="00C86DCE">
      <w:pPr>
        <w:pStyle w:val="Heading2"/>
      </w:pPr>
      <w:r>
        <w:t>Results per comparison</w:t>
      </w:r>
    </w:p>
    <w:p w:rsidR="00D044A3" w:rsidRDefault="00D044A3" w:rsidP="00D044A3">
      <w:r>
        <w:t>The power analysis is based on the minimum power across the primary comparisons, in terms of Concern Standardized Differences (CSD, equals 1 at the Limit of Concern ).</w:t>
      </w:r>
    </w:p>
    <w:p w:rsidR="00D044A3" w:rsidRDefault="00D044A3" w:rsidP="00D044A3">
      <w:r>
        <w:lastRenderedPageBreak/>
        <w:t>Select primary comparisons. Choose method of analysis if more have been investigated.</w:t>
      </w:r>
    </w:p>
    <w:p w:rsidR="00D044A3" w:rsidRDefault="00D044A3" w:rsidP="00D044A3">
      <w:r>
        <w:t>Power is shown for difference tests (upper graphs) and equivalence tests (lower graphs), both as a function of the number of replicates (left) and the Concern Standardized Difference (right).</w:t>
      </w:r>
    </w:p>
    <w:p w:rsidR="00D044A3" w:rsidRPr="00D044A3" w:rsidRDefault="00D044A3" w:rsidP="00D044A3">
      <w:r>
        <w:t>Note: Number of plots in design is Number of replicates times Number of plots per block</w:t>
      </w:r>
      <w:r w:rsidR="00475EF5">
        <w:t>.</w:t>
      </w:r>
    </w:p>
    <w:p w:rsidR="00234EE4" w:rsidRDefault="00234EE4" w:rsidP="00E83582">
      <w:pPr>
        <w:pStyle w:val="Heading2"/>
        <w:numPr>
          <w:ilvl w:val="0"/>
          <w:numId w:val="0"/>
        </w:numPr>
        <w:ind w:left="576" w:hanging="576"/>
      </w:pPr>
      <w:r>
        <w:t>References</w:t>
      </w:r>
    </w:p>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Pr="00B05D41" w:rsidRDefault="00234EE4" w:rsidP="00234EE4">
      <w:pPr>
        <w:spacing w:after="120" w:line="264" w:lineRule="auto"/>
        <w:ind w:left="567" w:hanging="567"/>
      </w:pPr>
      <w:r w:rsidRPr="00BD6C57">
        <w:rPr>
          <w:lang w:val="nl-NL"/>
        </w:rPr>
        <w:t xml:space="preserve">Goedhart PW, Van der Voet H, Baldacchino F &amp; </w:t>
      </w:r>
      <w:proofErr w:type="spellStart"/>
      <w:r w:rsidRPr="00BD6C57">
        <w:rPr>
          <w:lang w:val="nl-NL"/>
        </w:rPr>
        <w:t>Arpaia</w:t>
      </w:r>
      <w:proofErr w:type="spellEnd"/>
      <w:r w:rsidRPr="00BD6C57">
        <w:rPr>
          <w:lang w:val="nl-NL"/>
        </w:rPr>
        <w:t xml:space="preserve"> S (2013). </w:t>
      </w:r>
      <w:r>
        <w:t xml:space="preserve">Environmental Risk Assessment of Genetically Modified Organisms: Overview of field studies, examples of datasets, statistical models and a simulation tool. </w:t>
      </w:r>
      <w:r w:rsidRPr="00B05D41">
        <w:t>Deliverable 9.1, AMIGA project, project number 289706.</w:t>
      </w:r>
    </w:p>
    <w:p w:rsidR="00005806" w:rsidRPr="009C6B4D" w:rsidRDefault="00005806" w:rsidP="00005806">
      <w:pPr>
        <w:spacing w:after="120" w:line="264" w:lineRule="auto"/>
        <w:ind w:left="567" w:hanging="567"/>
        <w:rPr>
          <w:rFonts w:ascii="Times New Roman" w:hAnsi="Times New Roman"/>
        </w:rPr>
      </w:pPr>
      <w:r w:rsidRPr="00B05D41">
        <w:t xml:space="preserve">Goedhart PW, van der Voet H, </w:t>
      </w:r>
      <w:proofErr w:type="spellStart"/>
      <w:r w:rsidRPr="00B05D41">
        <w:t>Baldacchino</w:t>
      </w:r>
      <w:proofErr w:type="spellEnd"/>
      <w:r w:rsidRPr="00B05D41">
        <w:t xml:space="preserve"> F &amp; </w:t>
      </w:r>
      <w:proofErr w:type="spellStart"/>
      <w:r w:rsidRPr="00B05D41">
        <w:t>Arpaia</w:t>
      </w:r>
      <w:proofErr w:type="spellEnd"/>
      <w:r w:rsidRPr="00B05D41">
        <w:t xml:space="preserve">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B05D41" w:rsidRDefault="00234EE4" w:rsidP="00234EE4">
      <w:pPr>
        <w:spacing w:after="120" w:line="264" w:lineRule="auto"/>
        <w:ind w:left="567" w:hanging="567"/>
        <w:rPr>
          <w:lang w:val="nl-NL"/>
        </w:rPr>
      </w:pPr>
      <w:r w:rsidRPr="00025238">
        <w:t xml:space="preserve">Lyles RH, Lin H-M &amp; Williamson JM (2007). A practical approach to computing power for generalized linear models with nominal, count, or ordinal responses. </w:t>
      </w:r>
      <w:proofErr w:type="spellStart"/>
      <w:r w:rsidRPr="00B05D41">
        <w:rPr>
          <w:lang w:val="nl-NL"/>
        </w:rPr>
        <w:t>Statistics</w:t>
      </w:r>
      <w:proofErr w:type="spellEnd"/>
      <w:r w:rsidRPr="00B05D41">
        <w:rPr>
          <w:lang w:val="nl-NL"/>
        </w:rPr>
        <w:t xml:space="preserve"> In </w:t>
      </w:r>
      <w:proofErr w:type="spellStart"/>
      <w:r w:rsidRPr="00B05D41">
        <w:rPr>
          <w:lang w:val="nl-NL"/>
        </w:rPr>
        <w:t>Medicine</w:t>
      </w:r>
      <w:proofErr w:type="spellEnd"/>
      <w:r w:rsidRPr="00B05D41">
        <w:rPr>
          <w:lang w:val="nl-NL"/>
        </w:rPr>
        <w:t>, 26(7): 1632-1648.</w:t>
      </w:r>
    </w:p>
    <w:p w:rsidR="00234EE4" w:rsidRPr="00025238" w:rsidRDefault="00234EE4" w:rsidP="00234EE4">
      <w:pPr>
        <w:spacing w:after="120" w:line="264" w:lineRule="auto"/>
        <w:ind w:left="567" w:hanging="567"/>
      </w:pPr>
      <w:r w:rsidRPr="00B05D41">
        <w:rPr>
          <w:lang w:val="nl-NL"/>
        </w:rPr>
        <w:t xml:space="preserve">Perry JN, ter Braak CJF, Dixon PM, </w:t>
      </w:r>
      <w:proofErr w:type="spellStart"/>
      <w:r w:rsidRPr="00B05D41">
        <w:rPr>
          <w:lang w:val="nl-NL"/>
        </w:rPr>
        <w:t>Duan</w:t>
      </w:r>
      <w:proofErr w:type="spellEnd"/>
      <w:r w:rsidRPr="00B05D41">
        <w:rPr>
          <w:lang w:val="nl-NL"/>
        </w:rPr>
        <w:t xml:space="preserve"> JJ, </w:t>
      </w:r>
      <w:proofErr w:type="spellStart"/>
      <w:r w:rsidRPr="00B05D41">
        <w:rPr>
          <w:lang w:val="nl-NL"/>
        </w:rPr>
        <w:t>Hails</w:t>
      </w:r>
      <w:proofErr w:type="spellEnd"/>
      <w:r w:rsidRPr="00B05D41">
        <w:rPr>
          <w:lang w:val="nl-NL"/>
        </w:rPr>
        <w:t xml:space="preserve"> RS, </w:t>
      </w:r>
      <w:proofErr w:type="spellStart"/>
      <w:r w:rsidRPr="00B05D41">
        <w:rPr>
          <w:lang w:val="nl-NL"/>
        </w:rPr>
        <w:t>Huesken</w:t>
      </w:r>
      <w:proofErr w:type="spellEnd"/>
      <w:r w:rsidRPr="00B05D41">
        <w:rPr>
          <w:lang w:val="nl-NL"/>
        </w:rPr>
        <w:t xml:space="preserve"> A, </w:t>
      </w:r>
      <w:proofErr w:type="spellStart"/>
      <w:r w:rsidRPr="00B05D41">
        <w:rPr>
          <w:lang w:val="nl-NL"/>
        </w:rPr>
        <w:t>Lavielle</w:t>
      </w:r>
      <w:proofErr w:type="spellEnd"/>
      <w:r w:rsidRPr="00B05D41">
        <w:rPr>
          <w:lang w:val="nl-NL"/>
        </w:rPr>
        <w:t xml:space="preserve"> M, </w:t>
      </w:r>
      <w:proofErr w:type="spellStart"/>
      <w:r w:rsidRPr="00B05D41">
        <w:rPr>
          <w:lang w:val="nl-NL"/>
        </w:rPr>
        <w:t>Marvier</w:t>
      </w:r>
      <w:proofErr w:type="spellEnd"/>
      <w:r w:rsidRPr="00B05D41">
        <w:rPr>
          <w:lang w:val="nl-NL"/>
        </w:rPr>
        <w:t xml:space="preserve"> M, </w:t>
      </w:r>
      <w:proofErr w:type="spellStart"/>
      <w:r w:rsidRPr="00B05D41">
        <w:rPr>
          <w:lang w:val="nl-NL"/>
        </w:rPr>
        <w:t>Scardi</w:t>
      </w:r>
      <w:proofErr w:type="spellEnd"/>
      <w:r w:rsidRPr="00B05D41">
        <w:rPr>
          <w:lang w:val="nl-NL"/>
        </w:rPr>
        <w:t xml:space="preserve"> M, Schmidt K, </w:t>
      </w:r>
      <w:proofErr w:type="spellStart"/>
      <w:r w:rsidRPr="00B05D41">
        <w:rPr>
          <w:lang w:val="nl-NL"/>
        </w:rPr>
        <w:t>Tothmeresz</w:t>
      </w:r>
      <w:proofErr w:type="spellEnd"/>
      <w:r w:rsidRPr="00B05D41">
        <w:rPr>
          <w:lang w:val="nl-NL"/>
        </w:rPr>
        <w:t xml:space="preserve"> B, </w:t>
      </w:r>
      <w:proofErr w:type="spellStart"/>
      <w:r w:rsidRPr="00B05D41">
        <w:rPr>
          <w:lang w:val="nl-NL"/>
        </w:rPr>
        <w:t>Schaarschmidt</w:t>
      </w:r>
      <w:proofErr w:type="spellEnd"/>
      <w:r w:rsidRPr="00B05D41">
        <w:rPr>
          <w:lang w:val="nl-NL"/>
        </w:rPr>
        <w:t xml:space="preserve"> F &amp; van der Voet, H (2009). </w:t>
      </w:r>
      <w:r w:rsidRPr="00025238">
        <w:t>Statistical aspects of 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proofErr w:type="spellStart"/>
      <w:r>
        <w:t>Schuirmann</w:t>
      </w:r>
      <w:proofErr w:type="spellEnd"/>
      <w:r>
        <w:t xml:space="preserve">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p>
    <w:sectPr w:rsidR="00234EE4" w:rsidRPr="00137411"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AFE" w:rsidRDefault="00113AFE" w:rsidP="00722E05">
      <w:pPr>
        <w:spacing w:after="0"/>
      </w:pPr>
      <w:r>
        <w:separator/>
      </w:r>
    </w:p>
  </w:endnote>
  <w:endnote w:type="continuationSeparator" w:id="0">
    <w:p w:rsidR="00113AFE" w:rsidRDefault="00113AFE"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AFE" w:rsidRDefault="00113AFE" w:rsidP="00722E05">
      <w:pPr>
        <w:spacing w:after="0"/>
      </w:pPr>
      <w:r>
        <w:separator/>
      </w:r>
    </w:p>
  </w:footnote>
  <w:footnote w:type="continuationSeparator" w:id="0">
    <w:p w:rsidR="00113AFE" w:rsidRDefault="00113AFE"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0839D9">
      <w:rPr>
        <w:rStyle w:val="IntenseReference"/>
        <w:noProof/>
        <w:color w:val="auto"/>
        <w:u w:val="none"/>
      </w:rPr>
      <w:t>3</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0839D9">
      <w:rPr>
        <w:rStyle w:val="IntenseReference"/>
        <w:noProof/>
        <w:color w:val="auto"/>
        <w:u w:val="none"/>
      </w:rPr>
      <w:t>6</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4020B4E"/>
    <w:multiLevelType w:val="hybridMultilevel"/>
    <w:tmpl w:val="DC74D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085760F"/>
    <w:multiLevelType w:val="hybridMultilevel"/>
    <w:tmpl w:val="C86A3B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94C18B3"/>
    <w:multiLevelType w:val="hybridMultilevel"/>
    <w:tmpl w:val="641E3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0"/>
  </w:num>
  <w:num w:numId="12">
    <w:abstractNumId w:val="5"/>
  </w:num>
  <w:num w:numId="13">
    <w:abstractNumId w:val="1"/>
  </w:num>
  <w:num w:numId="14">
    <w:abstractNumId w:val="4"/>
  </w:num>
  <w:num w:numId="15">
    <w:abstractNumId w:val="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2"/>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37391"/>
    <w:rsid w:val="00045739"/>
    <w:rsid w:val="00047861"/>
    <w:rsid w:val="000717DE"/>
    <w:rsid w:val="000839D9"/>
    <w:rsid w:val="000A4471"/>
    <w:rsid w:val="000C0C9B"/>
    <w:rsid w:val="000D0745"/>
    <w:rsid w:val="000F3D22"/>
    <w:rsid w:val="00102B92"/>
    <w:rsid w:val="00113AFE"/>
    <w:rsid w:val="0013516B"/>
    <w:rsid w:val="00157D5B"/>
    <w:rsid w:val="00172CE6"/>
    <w:rsid w:val="00187DB4"/>
    <w:rsid w:val="00195CB3"/>
    <w:rsid w:val="001B772E"/>
    <w:rsid w:val="001C5244"/>
    <w:rsid w:val="001F7AC3"/>
    <w:rsid w:val="00202C0B"/>
    <w:rsid w:val="002038FC"/>
    <w:rsid w:val="00212E39"/>
    <w:rsid w:val="00216701"/>
    <w:rsid w:val="00217378"/>
    <w:rsid w:val="00221AE3"/>
    <w:rsid w:val="00234EE4"/>
    <w:rsid w:val="00236E9F"/>
    <w:rsid w:val="0026497C"/>
    <w:rsid w:val="00277339"/>
    <w:rsid w:val="002A5813"/>
    <w:rsid w:val="002B07C9"/>
    <w:rsid w:val="002C2410"/>
    <w:rsid w:val="002D7009"/>
    <w:rsid w:val="002E3FDC"/>
    <w:rsid w:val="002F6C8F"/>
    <w:rsid w:val="003060EE"/>
    <w:rsid w:val="00315046"/>
    <w:rsid w:val="00323465"/>
    <w:rsid w:val="003265E9"/>
    <w:rsid w:val="00330B94"/>
    <w:rsid w:val="00347B95"/>
    <w:rsid w:val="003704EF"/>
    <w:rsid w:val="00385DC2"/>
    <w:rsid w:val="003A66E1"/>
    <w:rsid w:val="003B1EB0"/>
    <w:rsid w:val="003F3C07"/>
    <w:rsid w:val="00406102"/>
    <w:rsid w:val="00422153"/>
    <w:rsid w:val="0043332F"/>
    <w:rsid w:val="0047461C"/>
    <w:rsid w:val="00475EF5"/>
    <w:rsid w:val="004A4A5E"/>
    <w:rsid w:val="004E2007"/>
    <w:rsid w:val="004F12D3"/>
    <w:rsid w:val="0050777C"/>
    <w:rsid w:val="00524EF3"/>
    <w:rsid w:val="00531942"/>
    <w:rsid w:val="00533165"/>
    <w:rsid w:val="00535289"/>
    <w:rsid w:val="00543B05"/>
    <w:rsid w:val="0054639D"/>
    <w:rsid w:val="005C069E"/>
    <w:rsid w:val="005F3AE2"/>
    <w:rsid w:val="006016E9"/>
    <w:rsid w:val="00632BFE"/>
    <w:rsid w:val="00635D17"/>
    <w:rsid w:val="00637493"/>
    <w:rsid w:val="00643D8E"/>
    <w:rsid w:val="00645DC6"/>
    <w:rsid w:val="00675F80"/>
    <w:rsid w:val="006C1236"/>
    <w:rsid w:val="006D4FF6"/>
    <w:rsid w:val="00701002"/>
    <w:rsid w:val="00722E05"/>
    <w:rsid w:val="00746C0D"/>
    <w:rsid w:val="00785CD1"/>
    <w:rsid w:val="007A1805"/>
    <w:rsid w:val="007A4B62"/>
    <w:rsid w:val="007B734F"/>
    <w:rsid w:val="007F0324"/>
    <w:rsid w:val="008546DE"/>
    <w:rsid w:val="00856D0F"/>
    <w:rsid w:val="00861072"/>
    <w:rsid w:val="008779D0"/>
    <w:rsid w:val="0088199B"/>
    <w:rsid w:val="008A1708"/>
    <w:rsid w:val="008C130B"/>
    <w:rsid w:val="008C43F1"/>
    <w:rsid w:val="008D447C"/>
    <w:rsid w:val="008E733F"/>
    <w:rsid w:val="008F6B77"/>
    <w:rsid w:val="00941D85"/>
    <w:rsid w:val="00953F03"/>
    <w:rsid w:val="009A1D67"/>
    <w:rsid w:val="009F64B9"/>
    <w:rsid w:val="00A078C8"/>
    <w:rsid w:val="00A11730"/>
    <w:rsid w:val="00A13FD3"/>
    <w:rsid w:val="00A22B25"/>
    <w:rsid w:val="00A246DF"/>
    <w:rsid w:val="00A27F80"/>
    <w:rsid w:val="00A313A0"/>
    <w:rsid w:val="00A41762"/>
    <w:rsid w:val="00A47D92"/>
    <w:rsid w:val="00A6799E"/>
    <w:rsid w:val="00A67DF1"/>
    <w:rsid w:val="00A81695"/>
    <w:rsid w:val="00AA1920"/>
    <w:rsid w:val="00AE2A1D"/>
    <w:rsid w:val="00AF37C4"/>
    <w:rsid w:val="00B05D41"/>
    <w:rsid w:val="00B072BC"/>
    <w:rsid w:val="00B2309C"/>
    <w:rsid w:val="00B541B0"/>
    <w:rsid w:val="00B6088F"/>
    <w:rsid w:val="00B60C1C"/>
    <w:rsid w:val="00B61E72"/>
    <w:rsid w:val="00B67531"/>
    <w:rsid w:val="00C84505"/>
    <w:rsid w:val="00C86DCE"/>
    <w:rsid w:val="00CC0C32"/>
    <w:rsid w:val="00CD6AD6"/>
    <w:rsid w:val="00D044A3"/>
    <w:rsid w:val="00D22A0A"/>
    <w:rsid w:val="00D2618E"/>
    <w:rsid w:val="00D34C11"/>
    <w:rsid w:val="00D454A4"/>
    <w:rsid w:val="00D6424B"/>
    <w:rsid w:val="00D93298"/>
    <w:rsid w:val="00DC51DA"/>
    <w:rsid w:val="00DE1F5D"/>
    <w:rsid w:val="00E149BA"/>
    <w:rsid w:val="00E41ACC"/>
    <w:rsid w:val="00E7288D"/>
    <w:rsid w:val="00E83582"/>
    <w:rsid w:val="00EA15D9"/>
    <w:rsid w:val="00EA75E6"/>
    <w:rsid w:val="00EB05E4"/>
    <w:rsid w:val="00F019C9"/>
    <w:rsid w:val="00F23470"/>
    <w:rsid w:val="00F27B2F"/>
    <w:rsid w:val="00F37F45"/>
    <w:rsid w:val="00F87246"/>
    <w:rsid w:val="00FB1708"/>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96128">
      <w:bodyDiv w:val="1"/>
      <w:marLeft w:val="0"/>
      <w:marRight w:val="0"/>
      <w:marTop w:val="0"/>
      <w:marBottom w:val="0"/>
      <w:divBdr>
        <w:top w:val="none" w:sz="0" w:space="0" w:color="auto"/>
        <w:left w:val="none" w:sz="0" w:space="0" w:color="auto"/>
        <w:bottom w:val="none" w:sz="0" w:space="0" w:color="auto"/>
        <w:right w:val="none" w:sz="0" w:space="0" w:color="auto"/>
      </w:divBdr>
    </w:div>
    <w:div w:id="1256013125">
      <w:bodyDiv w:val="1"/>
      <w:marLeft w:val="0"/>
      <w:marRight w:val="0"/>
      <w:marTop w:val="0"/>
      <w:marBottom w:val="0"/>
      <w:divBdr>
        <w:top w:val="none" w:sz="0" w:space="0" w:color="auto"/>
        <w:left w:val="none" w:sz="0" w:space="0" w:color="auto"/>
        <w:bottom w:val="none" w:sz="0" w:space="0" w:color="auto"/>
        <w:right w:val="none" w:sz="0" w:space="0" w:color="auto"/>
      </w:divBdr>
    </w:div>
    <w:div w:id="13385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studio.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79C2D-635D-4199-AAA1-CB7E2002B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6</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Johannes Kruisselbrink</cp:lastModifiedBy>
  <cp:revision>95</cp:revision>
  <cp:lastPrinted>2015-10-16T15:32:00Z</cp:lastPrinted>
  <dcterms:created xsi:type="dcterms:W3CDTF">2014-06-30T14:00:00Z</dcterms:created>
  <dcterms:modified xsi:type="dcterms:W3CDTF">2016-02-02T12:33:00Z</dcterms:modified>
</cp:coreProperties>
</file>