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701002">
        <w:rPr>
          <w:noProof/>
        </w:rPr>
        <w:t>15 October 2015</w:t>
      </w:r>
      <w:r>
        <w:fldChar w:fldCharType="end"/>
      </w:r>
      <w:r>
        <w:t xml:space="preserve"> </w:t>
      </w:r>
      <w:r w:rsidR="00722E05">
        <w:t xml:space="preserve">– </w:t>
      </w:r>
      <w:r w:rsidR="00A313A0">
        <w:t>Amiga Power Analysis Ver</w:t>
      </w:r>
      <w:r w:rsidR="009A1D67">
        <w:t>s</w:t>
      </w:r>
      <w:r w:rsidR="00A313A0">
        <w:t>ion 1</w:t>
      </w:r>
      <w:r w:rsidR="00722E05">
        <w:t>.</w:t>
      </w:r>
      <w:r w:rsidR="00A313A0">
        <w:t>0</w:t>
      </w:r>
      <w:r w:rsidR="00722E05">
        <w:t>.</w:t>
      </w:r>
      <w:r w:rsidR="006016E9">
        <w:t>1</w:t>
      </w:r>
      <w:r w:rsidR="00722E05">
        <w:t>.</w:t>
      </w:r>
      <w:r w:rsidR="00A313A0">
        <w:t>0</w:t>
      </w:r>
    </w:p>
    <w:p w:rsidR="00722E05" w:rsidRDefault="00722E05" w:rsidP="00722E05">
      <w:pPr>
        <w:pStyle w:val="Heading1"/>
      </w:pPr>
      <w:r>
        <w:t>Introduction</w:t>
      </w:r>
    </w:p>
    <w:p w:rsidR="00A313A0" w:rsidRDefault="00A313A0" w:rsidP="00A313A0">
      <w:r>
        <w:t xml:space="preserve">Welcome to Amiga Power Analysis for environmental risk assessment (ERA) using field trials. With this tool you can calculate the necessary replication for assessing differences and equivalences between a </w:t>
      </w:r>
      <w:r w:rsidR="002E3FDC" w:rsidRPr="002E3FDC">
        <w:t>test and a comparator plant variety under different data models for count and continuous data</w:t>
      </w:r>
      <w:r>
        <w:t>.</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10" w:history="1">
        <w:r w:rsidRPr="00005806">
          <w:rPr>
            <w:rStyle w:val="Hyperlink"/>
          </w:rPr>
          <w:t>http://www.biometris.nl/</w:t>
        </w:r>
      </w:hyperlink>
      <w:r w:rsidRPr="00005806">
        <w:t>).</w:t>
      </w:r>
    </w:p>
    <w:p w:rsidR="00005806" w:rsidRPr="00005806" w:rsidRDefault="00005806" w:rsidP="00A313A0">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E83582" w:rsidRDefault="00C84505" w:rsidP="003F3C07">
      <w:r>
        <w:t>Follow the steps below t</w:t>
      </w:r>
      <w:r w:rsidR="003F3C07">
        <w:t>o install R</w:t>
      </w:r>
      <w:r w:rsidR="00E83582">
        <w:t>:</w:t>
      </w:r>
    </w:p>
    <w:p w:rsidR="00323465" w:rsidRDefault="00323465" w:rsidP="00323465">
      <w:r w:rsidRPr="00323465">
        <w:rPr>
          <w:b/>
        </w:rPr>
        <w:t>Step 1:</w:t>
      </w:r>
      <w:r>
        <w:t xml:space="preserve"> </w:t>
      </w:r>
      <w:r w:rsidR="00E83582">
        <w:t>G</w:t>
      </w:r>
      <w:r w:rsidR="003F3C07">
        <w:t xml:space="preserve">o to the R website for downloading the Windows version on </w:t>
      </w:r>
      <w:hyperlink r:id="rId11" w:history="1">
        <w:r w:rsidR="003F3C07" w:rsidRPr="00F827C2">
          <w:rPr>
            <w:rStyle w:val="Hyperlink"/>
          </w:rPr>
          <w:t>http://cran.rstudio.org</w:t>
        </w:r>
      </w:hyperlink>
      <w:r w:rsidR="00E83582">
        <w:t>.</w:t>
      </w:r>
    </w:p>
    <w:p w:rsidR="00E83582" w:rsidRDefault="00323465" w:rsidP="00323465">
      <w:r w:rsidRPr="00323465">
        <w:rPr>
          <w:b/>
        </w:rPr>
        <w:t>Step 2:</w:t>
      </w:r>
      <w:r>
        <w:t xml:space="preserve"> </w:t>
      </w:r>
      <w:r w:rsidR="003F3C07">
        <w:t xml:space="preserve">Click on the link "Download </w:t>
      </w:r>
      <w:proofErr w:type="spellStart"/>
      <w:r w:rsidR="003F3C07" w:rsidRPr="00E83582">
        <w:rPr>
          <w:i/>
        </w:rPr>
        <w:t>R.x.x.x</w:t>
      </w:r>
      <w:proofErr w:type="spellEnd"/>
      <w:r w:rsidR="003F3C07">
        <w:t xml:space="preserve"> for Windows". This starts downloading R.</w:t>
      </w:r>
      <w:r w:rsidR="002A5813" w:rsidRPr="002A5813">
        <w:rPr>
          <w:i/>
        </w:rPr>
        <w:t>x</w:t>
      </w:r>
      <w:r w:rsidR="002A5813">
        <w:t>.</w:t>
      </w:r>
      <w:r w:rsidR="002A5813" w:rsidRPr="002A5813">
        <w:rPr>
          <w:i/>
        </w:rPr>
        <w:t>x</w:t>
      </w:r>
      <w:r w:rsidR="002A5813">
        <w:t>.</w:t>
      </w:r>
      <w:r w:rsidR="002A5813" w:rsidRPr="002A5813">
        <w:rPr>
          <w:i/>
        </w:rPr>
        <w:t>x</w:t>
      </w:r>
      <w:r w:rsidR="003F3C07">
        <w:t>-win.e</w:t>
      </w:r>
      <w:r w:rsidR="00E83582">
        <w:t>xe file for both 32 and 64 bit.</w:t>
      </w:r>
    </w:p>
    <w:p w:rsidR="003F3C07" w:rsidRDefault="00323465" w:rsidP="00323465">
      <w:r w:rsidRPr="00323465">
        <w:rPr>
          <w:b/>
        </w:rPr>
        <w:t>Step 3:</w:t>
      </w:r>
      <w:r>
        <w:t xml:space="preserve"> </w:t>
      </w:r>
      <w:r w:rsidR="003F3C07">
        <w:t>After downloading, double click this file to ins</w:t>
      </w:r>
      <w:r w:rsidR="00861072">
        <w:t>tall R.</w:t>
      </w:r>
      <w:r w:rsidRPr="00323465">
        <w:t xml:space="preserve"> </w:t>
      </w:r>
      <w:r w:rsidRPr="00323465">
        <w:rPr>
          <w:b/>
        </w:rPr>
        <w:t>Important:</w:t>
      </w:r>
      <w:r w:rsidRPr="00323465">
        <w:t xml:space="preserve"> Make sure that you keep the default setting under Additional Tasks: "Save version number in registry" checked.</w:t>
      </w:r>
    </w:p>
    <w:p w:rsidR="00406102" w:rsidRDefault="00323465" w:rsidP="00406102">
      <w:r w:rsidRPr="00323465">
        <w:rPr>
          <w:b/>
        </w:rPr>
        <w:t>Step 4:</w:t>
      </w:r>
      <w:r>
        <w:t xml:space="preserve"> </w:t>
      </w:r>
      <w:r w:rsidR="00406102">
        <w:t xml:space="preserve"> Start R and install the packages </w:t>
      </w:r>
      <w:proofErr w:type="spellStart"/>
      <w:r w:rsidR="00406102">
        <w:t>lsmeans</w:t>
      </w:r>
      <w:proofErr w:type="spellEnd"/>
      <w:r w:rsidR="00406102">
        <w:t xml:space="preserve">, </w:t>
      </w:r>
      <w:proofErr w:type="spellStart"/>
      <w:r w:rsidR="00406102">
        <w:t>stringr</w:t>
      </w:r>
      <w:proofErr w:type="spellEnd"/>
      <w:r w:rsidR="00406102">
        <w:t xml:space="preserve">, reshape, </w:t>
      </w:r>
      <w:proofErr w:type="spellStart"/>
      <w:r w:rsidR="00406102">
        <w:t>mvtnorm</w:t>
      </w:r>
      <w:proofErr w:type="spellEnd"/>
      <w:r w:rsidR="00406102">
        <w:t xml:space="preserve"> by typing: </w:t>
      </w:r>
    </w:p>
    <w:p w:rsidR="00406102" w:rsidRDefault="00406102" w:rsidP="00406102">
      <w:r>
        <w:tab/>
      </w:r>
      <w:proofErr w:type="spellStart"/>
      <w:r>
        <w:t>install.packages</w:t>
      </w:r>
      <w:proofErr w:type="spellEnd"/>
      <w:r>
        <w:t>(“</w:t>
      </w:r>
      <w:proofErr w:type="spellStart"/>
      <w:r>
        <w:t>lsmeans</w:t>
      </w:r>
      <w:proofErr w:type="spellEnd"/>
      <w:r>
        <w:t>”)</w:t>
      </w:r>
    </w:p>
    <w:p w:rsidR="00406102" w:rsidRDefault="00406102" w:rsidP="00406102">
      <w:r>
        <w:tab/>
      </w:r>
      <w:proofErr w:type="spellStart"/>
      <w:r>
        <w:t>install.packages</w:t>
      </w:r>
      <w:proofErr w:type="spellEnd"/>
      <w:r>
        <w:t>(“</w:t>
      </w:r>
      <w:proofErr w:type="spellStart"/>
      <w:r>
        <w:t>stringr</w:t>
      </w:r>
      <w:proofErr w:type="spellEnd"/>
      <w:r>
        <w:t>”)</w:t>
      </w:r>
    </w:p>
    <w:p w:rsidR="00406102" w:rsidRDefault="00406102" w:rsidP="00406102">
      <w:r>
        <w:tab/>
      </w:r>
      <w:proofErr w:type="spellStart"/>
      <w:r>
        <w:t>install.packages</w:t>
      </w:r>
      <w:proofErr w:type="spellEnd"/>
      <w:r>
        <w:t>(“reshape”)</w:t>
      </w:r>
    </w:p>
    <w:p w:rsidR="00406102" w:rsidRDefault="00406102" w:rsidP="00406102">
      <w:r>
        <w:tab/>
      </w:r>
      <w:proofErr w:type="spellStart"/>
      <w:r>
        <w:t>install.packages</w:t>
      </w:r>
      <w:proofErr w:type="spellEnd"/>
      <w:r>
        <w:t>(“</w:t>
      </w:r>
      <w:proofErr w:type="spellStart"/>
      <w:r>
        <w:t>mvtnorm</w:t>
      </w:r>
      <w:proofErr w:type="spellEnd"/>
      <w:r>
        <w:t>”)</w:t>
      </w:r>
    </w:p>
    <w:p w:rsidR="003F3C07" w:rsidRPr="00323465" w:rsidRDefault="00406102" w:rsidP="00406102">
      <w:pPr>
        <w:rPr>
          <w:i/>
        </w:rPr>
      </w:pPr>
      <w:r>
        <w:t>These packages are used in the AMIGA Power analysis tools.</w:t>
      </w:r>
    </w:p>
    <w:p w:rsidR="00722E05" w:rsidRDefault="00722E05" w:rsidP="00722E05">
      <w:pPr>
        <w:pStyle w:val="Heading2"/>
      </w:pPr>
      <w:r>
        <w:lastRenderedPageBreak/>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C86DCE" w:rsidRDefault="00187DB4" w:rsidP="00C86DCE">
      <w:r>
        <w:t>An essential part of ERA is that for each endpoint, it should be decided beforehand which levels of difference between the test-variety and the comparator are still acceptable, and at what level, a difference becomes too high to be ignored.</w:t>
      </w:r>
      <w:r w:rsidR="001C5244">
        <w:t xml:space="preserve"> </w:t>
      </w:r>
      <w:r>
        <w:t>In this software, these limits are defined in terms of limits of concern (LoCs).</w:t>
      </w:r>
      <w:r w:rsidR="001C5244">
        <w:t xml:space="preserve"> </w:t>
      </w:r>
      <w:r>
        <w:t>Limits of Concern are ratios of the expected values for the Test-Variety and the Comparator. Within these limits there is no concern about safety.</w:t>
      </w:r>
      <w:r w:rsidR="009F64B9">
        <w:t xml:space="preserve"> </w:t>
      </w:r>
      <w:r w:rsidR="00C86DCE">
        <w:t>Provide a lower LoC, an upper LoC, or both. Unspecified (</w:t>
      </w:r>
      <w:proofErr w:type="spellStart"/>
      <w:r w:rsidR="00C86DCE">
        <w:t>NaN</w:t>
      </w:r>
      <w:proofErr w:type="spellEnd"/>
      <w:r w:rsidR="00C86DCE">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A41762" w:rsidP="00F87246">
            <w:pPr>
              <w:rPr>
                <w:rFonts w:asciiTheme="minorHAnsi" w:hAnsiTheme="minorHAnsi" w:cs="Times New Roman"/>
                <w:szCs w:val="22"/>
              </w:rPr>
            </w:pPr>
            <w:r w:rsidRPr="00F87246">
              <w:rPr>
                <w:rFonts w:asciiTheme="minorHAnsi" w:hAnsiTheme="minorHAnsi" w:cs="Times New Roman"/>
                <w:szCs w:val="22"/>
              </w:rPr>
              <w:t>Continuous</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EB05E4" w:rsidP="00C86DCE">
      <w:r>
        <w:t>Two design types are supported:  completely randomized, and randomized complete blocks. This tab allows you to s</w:t>
      </w:r>
      <w:r w:rsidR="00C86DCE" w:rsidRPr="00C86DCE">
        <w:t>pecify the t</w:t>
      </w:r>
      <w:r w:rsidR="003060EE">
        <w:t>ype of experimental design.</w:t>
      </w:r>
    </w:p>
    <w:p w:rsidR="003060EE" w:rsidRDefault="003060EE" w:rsidP="003060EE">
      <w:pPr>
        <w:pStyle w:val="Heading2"/>
      </w:pPr>
      <w:r>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535289" w:rsidP="00C86DCE">
      <w:pPr>
        <w:pStyle w:val="Heading2"/>
      </w:pPr>
      <w:r>
        <w:t>Factor m</w:t>
      </w:r>
      <w:r w:rsidR="00C86DCE">
        <w:t>odifiers</w:t>
      </w:r>
    </w:p>
    <w:p w:rsidR="00531942" w:rsidRDefault="00531942" w:rsidP="00531942">
      <w:r>
        <w:t>The power of tests will be lower if data are uninformative or less informative, e.g. if counts are very low (&lt;5). In principle, the already specified Comparator Means and CVs are sufficient to perform the power analysis. However, it should be specified if other factors in the design are expected to make part of the data less informative.</w:t>
      </w:r>
    </w:p>
    <w:p w:rsidR="00531942" w:rsidRDefault="00531942" w:rsidP="00531942">
      <w:r>
        <w:lastRenderedPageBreak/>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D454A4"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701002" w:rsidRDefault="00D454A4"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w:r w:rsidR="00701002">
        <w:t xml:space="preserve"> .</w:t>
      </w:r>
    </w:p>
    <w:p w:rsidR="00635D17" w:rsidRDefault="00635D17" w:rsidP="00635D17">
      <w:r>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from the other levels as</w:t>
      </w:r>
    </w:p>
    <w:p w:rsidR="00524EF3" w:rsidRDefault="00D454A4"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635D17">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635D17" w:rsidRPr="00EA75E6" w:rsidRDefault="00D454A4"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524EF3">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A6799E" w:rsidRDefault="00D454A4"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w:r w:rsidR="00701002">
        <w:t xml:space="preserve"> </w:t>
      </w:r>
      <w:r w:rsidR="00524EF3">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Default="00D454A4"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w:r w:rsidR="00701002">
        <w:t xml:space="preserve"> </w:t>
      </w:r>
      <w:r w:rsidR="00635D17">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Default="00D454A4"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w:r w:rsidR="00701002">
        <w:t xml:space="preserve"> </w:t>
      </w:r>
      <w:r w:rsidR="00D93298">
        <w:t>.</w:t>
      </w:r>
    </w:p>
    <w:p w:rsidR="00D93298" w:rsidRDefault="00D93298" w:rsidP="00C86DCE">
      <w:r>
        <w:t>However, for this measurement type, the modifier will have no effect on the power analysis.</w:t>
      </w:r>
    </w:p>
    <w:p w:rsidR="00037391" w:rsidRDefault="00037391" w:rsidP="00C86DCE">
      <w:pPr>
        <w:pStyle w:val="Heading2"/>
      </w:pPr>
      <w:r>
        <w:t>Block modifiers</w:t>
      </w:r>
    </w:p>
    <w:p w:rsidR="00037391" w:rsidRPr="00037391" w:rsidRDefault="007F0324" w:rsidP="00037391">
      <w:r>
        <w:t>For randomized complete block designs, it may be that there large differences between blocks, causing part of the data to be less informative. If this is the case, then use this tab to specify the variation between blocks in terms of a CV (%).</w:t>
      </w:r>
    </w:p>
    <w:p w:rsidR="00C86DCE" w:rsidRDefault="008F6B77" w:rsidP="00C86DCE">
      <w:pPr>
        <w:pStyle w:val="Heading2"/>
      </w:pPr>
      <w:r>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lastRenderedPageBreak/>
        <w:t>For non-negative data it is suggested to use the log(</w:t>
      </w:r>
      <w:proofErr w:type="spellStart"/>
      <w:r>
        <w:t>x+m</w:t>
      </w:r>
      <w:proofErr w:type="spellEnd"/>
      <w:r>
        <w:t>) method for the difference tests and the Gamma model for the equivalence tests. (Note: Approximate method not yet available for gamma)</w:t>
      </w:r>
      <w:r w:rsidR="00202C0B">
        <w:t>.</w:t>
      </w:r>
    </w:p>
    <w:p w:rsidR="00202C0B" w:rsidRDefault="00202C0B" w:rsidP="006C1236">
      <w:bookmarkStart w:id="0" w:name="_GoBack"/>
      <w:bookmarkEnd w:id="0"/>
      <w:r>
        <w:t>Two types of statistical tests are considered: the difference test and the equivalence test.</w:t>
      </w:r>
    </w:p>
    <w:p w:rsidR="00202C0B" w:rsidRDefault="00202C0B" w:rsidP="006C1236">
      <w:r>
        <w:t>Difference test:</w:t>
      </w:r>
    </w:p>
    <w:p w:rsidR="00202C0B" w:rsidRDefault="00202C0B" w:rsidP="00202C0B">
      <w:r>
        <w:t>H0: µ</w:t>
      </w:r>
      <w:r w:rsidRPr="00202C0B">
        <w:rPr>
          <w:vertAlign w:val="subscript"/>
        </w:rPr>
        <w:t>1</w:t>
      </w:r>
      <w:r>
        <w:t xml:space="preserve"> </w:t>
      </w:r>
      <w:r>
        <w:t>=</w:t>
      </w:r>
      <w:r>
        <w:t xml:space="preserve"> µ</w:t>
      </w:r>
      <w:r w:rsidRPr="00202C0B">
        <w:rPr>
          <w:vertAlign w:val="subscript"/>
        </w:rPr>
        <w:t>2</w:t>
      </w:r>
      <w:r>
        <w:t xml:space="preserve"> against HA: µ</w:t>
      </w:r>
      <w:r w:rsidRPr="00202C0B">
        <w:rPr>
          <w:vertAlign w:val="subscript"/>
        </w:rPr>
        <w:t>1</w:t>
      </w:r>
      <w:r>
        <w:t xml:space="preserve"> ≠ µ</w:t>
      </w:r>
      <w:r w:rsidRPr="00202C0B">
        <w:rPr>
          <w:vertAlign w:val="subscript"/>
        </w:rPr>
        <w:t>2</w:t>
      </w:r>
    </w:p>
    <w:p w:rsidR="00202C0B" w:rsidRDefault="00202C0B" w:rsidP="006C1236">
      <w:r>
        <w:t>Equivalence test:</w:t>
      </w:r>
    </w:p>
    <w:p w:rsidR="00202C0B" w:rsidRDefault="00202C0B" w:rsidP="006C1236">
      <w:r>
        <w:t>H0: µ</w:t>
      </w:r>
      <w:r w:rsidRPr="00202C0B">
        <w:rPr>
          <w:vertAlign w:val="subscript"/>
        </w:rPr>
        <w:t>1</w:t>
      </w:r>
      <w:r>
        <w:t xml:space="preserve"> </w:t>
      </w:r>
      <w:r>
        <w:t>≠</w:t>
      </w:r>
      <w:r>
        <w:t xml:space="preserve"> µ</w:t>
      </w:r>
      <w:r w:rsidRPr="00202C0B">
        <w:rPr>
          <w:vertAlign w:val="subscript"/>
        </w:rPr>
        <w:t>2</w:t>
      </w:r>
      <w:r>
        <w:t xml:space="preserve"> </w:t>
      </w:r>
      <w:r>
        <w:t xml:space="preserve">against </w:t>
      </w:r>
      <w:r>
        <w:t>HA: µ</w:t>
      </w:r>
      <w:r w:rsidRPr="00202C0B">
        <w:rPr>
          <w:vertAlign w:val="subscript"/>
        </w:rPr>
        <w:t>1</w:t>
      </w:r>
      <w:r>
        <w:t xml:space="preserve"> = µ</w:t>
      </w:r>
      <w:r w:rsidRPr="00202C0B">
        <w:rPr>
          <w:vertAlign w:val="subscript"/>
        </w:rPr>
        <w:t>2</w:t>
      </w:r>
    </w:p>
    <w:p w:rsidR="002C2410" w:rsidRDefault="002C2410" w:rsidP="00C86DCE">
      <w:pPr>
        <w:pStyle w:val="Heading2"/>
      </w:pPr>
      <w:r>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E83582">
      <w:pPr>
        <w:pStyle w:val="Heading2"/>
        <w:numPr>
          <w:ilvl w:val="0"/>
          <w:numId w:val="0"/>
        </w:numPr>
        <w:ind w:left="576" w:hanging="576"/>
      </w:pPr>
      <w:r>
        <w:t>References</w:t>
      </w:r>
    </w:p>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Pr="00701002" w:rsidRDefault="00234EE4" w:rsidP="00234EE4">
      <w:pPr>
        <w:spacing w:after="120" w:line="264" w:lineRule="auto"/>
        <w:ind w:left="567" w:hanging="567"/>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 xml:space="preserve">Environmental Risk Assessment of Genetically Modified Organisms: Overview of field studies, examples of datasets, statistical models and a simulation tool. </w:t>
      </w:r>
      <w:r w:rsidRPr="00701002">
        <w:t>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701002">
        <w:t xml:space="preserve">Goedhart PW, van der Voet H, </w:t>
      </w:r>
      <w:proofErr w:type="spellStart"/>
      <w:r w:rsidRPr="00701002">
        <w:t>Baldacchino</w:t>
      </w:r>
      <w:proofErr w:type="spellEnd"/>
      <w:r w:rsidRPr="00701002">
        <w:t xml:space="preserve"> F &amp; </w:t>
      </w:r>
      <w:proofErr w:type="spellStart"/>
      <w:r w:rsidRPr="00701002">
        <w:t>Arpaia</w:t>
      </w:r>
      <w:proofErr w:type="spellEnd"/>
      <w:r w:rsidRPr="00701002">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701002"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proofErr w:type="spellStart"/>
      <w:r w:rsidRPr="00701002">
        <w:rPr>
          <w:lang w:val="nl-NL"/>
        </w:rPr>
        <w:t>Statistics</w:t>
      </w:r>
      <w:proofErr w:type="spellEnd"/>
      <w:r w:rsidRPr="00701002">
        <w:rPr>
          <w:lang w:val="nl-NL"/>
        </w:rPr>
        <w:t xml:space="preserve"> In </w:t>
      </w:r>
      <w:proofErr w:type="spellStart"/>
      <w:r w:rsidRPr="00701002">
        <w:rPr>
          <w:lang w:val="nl-NL"/>
        </w:rPr>
        <w:t>Medicine</w:t>
      </w:r>
      <w:proofErr w:type="spellEnd"/>
      <w:r w:rsidRPr="00701002">
        <w:rPr>
          <w:lang w:val="nl-NL"/>
        </w:rPr>
        <w:t>, 26(7): 1632-1648.</w:t>
      </w:r>
    </w:p>
    <w:p w:rsidR="00234EE4" w:rsidRPr="00025238" w:rsidRDefault="00234EE4" w:rsidP="00234EE4">
      <w:pPr>
        <w:spacing w:after="120" w:line="264" w:lineRule="auto"/>
        <w:ind w:left="567" w:hanging="567"/>
      </w:pPr>
      <w:r w:rsidRPr="00701002">
        <w:rPr>
          <w:lang w:val="nl-NL"/>
        </w:rPr>
        <w:t xml:space="preserve">Perry JN, ter Braak CJF, Dixon PM, </w:t>
      </w:r>
      <w:proofErr w:type="spellStart"/>
      <w:r w:rsidRPr="00701002">
        <w:rPr>
          <w:lang w:val="nl-NL"/>
        </w:rPr>
        <w:t>Duan</w:t>
      </w:r>
      <w:proofErr w:type="spellEnd"/>
      <w:r w:rsidRPr="00701002">
        <w:rPr>
          <w:lang w:val="nl-NL"/>
        </w:rPr>
        <w:t xml:space="preserve"> JJ, </w:t>
      </w:r>
      <w:proofErr w:type="spellStart"/>
      <w:r w:rsidRPr="00701002">
        <w:rPr>
          <w:lang w:val="nl-NL"/>
        </w:rPr>
        <w:t>Hails</w:t>
      </w:r>
      <w:proofErr w:type="spellEnd"/>
      <w:r w:rsidRPr="00701002">
        <w:rPr>
          <w:lang w:val="nl-NL"/>
        </w:rPr>
        <w:t xml:space="preserve"> RS, </w:t>
      </w:r>
      <w:proofErr w:type="spellStart"/>
      <w:r w:rsidRPr="00701002">
        <w:rPr>
          <w:lang w:val="nl-NL"/>
        </w:rPr>
        <w:t>Huesken</w:t>
      </w:r>
      <w:proofErr w:type="spellEnd"/>
      <w:r w:rsidRPr="00701002">
        <w:rPr>
          <w:lang w:val="nl-NL"/>
        </w:rPr>
        <w:t xml:space="preserve"> A, </w:t>
      </w:r>
      <w:proofErr w:type="spellStart"/>
      <w:r w:rsidRPr="00701002">
        <w:rPr>
          <w:lang w:val="nl-NL"/>
        </w:rPr>
        <w:t>Lavielle</w:t>
      </w:r>
      <w:proofErr w:type="spellEnd"/>
      <w:r w:rsidRPr="00701002">
        <w:rPr>
          <w:lang w:val="nl-NL"/>
        </w:rPr>
        <w:t xml:space="preserve"> M, </w:t>
      </w:r>
      <w:proofErr w:type="spellStart"/>
      <w:r w:rsidRPr="00701002">
        <w:rPr>
          <w:lang w:val="nl-NL"/>
        </w:rPr>
        <w:t>Marvier</w:t>
      </w:r>
      <w:proofErr w:type="spellEnd"/>
      <w:r w:rsidRPr="00701002">
        <w:rPr>
          <w:lang w:val="nl-NL"/>
        </w:rPr>
        <w:t xml:space="preserve"> M, </w:t>
      </w:r>
      <w:proofErr w:type="spellStart"/>
      <w:r w:rsidRPr="00701002">
        <w:rPr>
          <w:lang w:val="nl-NL"/>
        </w:rPr>
        <w:t>Scardi</w:t>
      </w:r>
      <w:proofErr w:type="spellEnd"/>
      <w:r w:rsidRPr="00701002">
        <w:rPr>
          <w:lang w:val="nl-NL"/>
        </w:rPr>
        <w:t xml:space="preserve"> M, Schmidt K, </w:t>
      </w:r>
      <w:proofErr w:type="spellStart"/>
      <w:r w:rsidRPr="00701002">
        <w:rPr>
          <w:lang w:val="nl-NL"/>
        </w:rPr>
        <w:t>Tothmeresz</w:t>
      </w:r>
      <w:proofErr w:type="spellEnd"/>
      <w:r w:rsidRPr="00701002">
        <w:rPr>
          <w:lang w:val="nl-NL"/>
        </w:rPr>
        <w:t xml:space="preserve"> B, </w:t>
      </w:r>
      <w:proofErr w:type="spellStart"/>
      <w:r w:rsidRPr="00701002">
        <w:rPr>
          <w:lang w:val="nl-NL"/>
        </w:rPr>
        <w:t>Schaarschmidt</w:t>
      </w:r>
      <w:proofErr w:type="spellEnd"/>
      <w:r w:rsidRPr="00701002">
        <w:rPr>
          <w:lang w:val="nl-NL"/>
        </w:rPr>
        <w:t xml:space="preserve">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lastRenderedPageBreak/>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sectPr w:rsidR="00234EE4" w:rsidRPr="00137411"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4A4" w:rsidRDefault="00D454A4" w:rsidP="00722E05">
      <w:pPr>
        <w:spacing w:after="0"/>
      </w:pPr>
      <w:r>
        <w:separator/>
      </w:r>
    </w:p>
  </w:endnote>
  <w:endnote w:type="continuationSeparator" w:id="0">
    <w:p w:rsidR="00D454A4" w:rsidRDefault="00D454A4"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4A4" w:rsidRDefault="00D454A4" w:rsidP="00722E05">
      <w:pPr>
        <w:spacing w:after="0"/>
      </w:pPr>
      <w:r>
        <w:separator/>
      </w:r>
    </w:p>
  </w:footnote>
  <w:footnote w:type="continuationSeparator" w:id="0">
    <w:p w:rsidR="00D454A4" w:rsidRDefault="00D454A4"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533165">
      <w:rPr>
        <w:rStyle w:val="IntenseReference"/>
        <w:noProof/>
        <w:color w:val="auto"/>
        <w:u w:val="none"/>
      </w:rPr>
      <w:t>5</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533165">
      <w:rPr>
        <w:rStyle w:val="IntenseReference"/>
        <w:noProof/>
        <w:color w:val="auto"/>
        <w:u w:val="none"/>
      </w:rPr>
      <w:t>6</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85760F"/>
    <w:multiLevelType w:val="hybridMultilevel"/>
    <w:tmpl w:val="C86A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5"/>
  </w:num>
  <w:num w:numId="13">
    <w:abstractNumId w:val="1"/>
  </w:num>
  <w:num w:numId="14">
    <w:abstractNumId w:val="4"/>
  </w:num>
  <w:num w:numId="15">
    <w:abstractNumId w:val="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37391"/>
    <w:rsid w:val="00045739"/>
    <w:rsid w:val="00047861"/>
    <w:rsid w:val="000717DE"/>
    <w:rsid w:val="000A4471"/>
    <w:rsid w:val="000C0C9B"/>
    <w:rsid w:val="000D0745"/>
    <w:rsid w:val="000F3D22"/>
    <w:rsid w:val="00102B92"/>
    <w:rsid w:val="0013516B"/>
    <w:rsid w:val="00157D5B"/>
    <w:rsid w:val="00172CE6"/>
    <w:rsid w:val="00187DB4"/>
    <w:rsid w:val="00195CB3"/>
    <w:rsid w:val="001B772E"/>
    <w:rsid w:val="001C5244"/>
    <w:rsid w:val="001F7AC3"/>
    <w:rsid w:val="00202C0B"/>
    <w:rsid w:val="002038FC"/>
    <w:rsid w:val="00212E39"/>
    <w:rsid w:val="00216701"/>
    <w:rsid w:val="00217378"/>
    <w:rsid w:val="00221AE3"/>
    <w:rsid w:val="00234EE4"/>
    <w:rsid w:val="00236E9F"/>
    <w:rsid w:val="0026497C"/>
    <w:rsid w:val="00277339"/>
    <w:rsid w:val="002A5813"/>
    <w:rsid w:val="002B07C9"/>
    <w:rsid w:val="002C2410"/>
    <w:rsid w:val="002D7009"/>
    <w:rsid w:val="002E3FDC"/>
    <w:rsid w:val="003060EE"/>
    <w:rsid w:val="00315046"/>
    <w:rsid w:val="00323465"/>
    <w:rsid w:val="003265E9"/>
    <w:rsid w:val="00330B94"/>
    <w:rsid w:val="00347B95"/>
    <w:rsid w:val="003704EF"/>
    <w:rsid w:val="00385DC2"/>
    <w:rsid w:val="003A66E1"/>
    <w:rsid w:val="003B1EB0"/>
    <w:rsid w:val="003F3C07"/>
    <w:rsid w:val="00406102"/>
    <w:rsid w:val="0043332F"/>
    <w:rsid w:val="0047461C"/>
    <w:rsid w:val="00475EF5"/>
    <w:rsid w:val="004A4A5E"/>
    <w:rsid w:val="004E2007"/>
    <w:rsid w:val="004F12D3"/>
    <w:rsid w:val="0050777C"/>
    <w:rsid w:val="00524EF3"/>
    <w:rsid w:val="00531942"/>
    <w:rsid w:val="00533165"/>
    <w:rsid w:val="00535289"/>
    <w:rsid w:val="00543B05"/>
    <w:rsid w:val="0054639D"/>
    <w:rsid w:val="005C069E"/>
    <w:rsid w:val="005F3AE2"/>
    <w:rsid w:val="006016E9"/>
    <w:rsid w:val="00632BFE"/>
    <w:rsid w:val="00635D17"/>
    <w:rsid w:val="00637493"/>
    <w:rsid w:val="00643D8E"/>
    <w:rsid w:val="00675F80"/>
    <w:rsid w:val="006C1236"/>
    <w:rsid w:val="006D4FF6"/>
    <w:rsid w:val="00701002"/>
    <w:rsid w:val="00722E05"/>
    <w:rsid w:val="00785CD1"/>
    <w:rsid w:val="007A1805"/>
    <w:rsid w:val="007A4B62"/>
    <w:rsid w:val="007B734F"/>
    <w:rsid w:val="007F0324"/>
    <w:rsid w:val="008546DE"/>
    <w:rsid w:val="00861072"/>
    <w:rsid w:val="008779D0"/>
    <w:rsid w:val="0088199B"/>
    <w:rsid w:val="008A1708"/>
    <w:rsid w:val="008C130B"/>
    <w:rsid w:val="008C43F1"/>
    <w:rsid w:val="008E733F"/>
    <w:rsid w:val="008F6B77"/>
    <w:rsid w:val="00941D85"/>
    <w:rsid w:val="00953F03"/>
    <w:rsid w:val="009A1D67"/>
    <w:rsid w:val="009F64B9"/>
    <w:rsid w:val="00A078C8"/>
    <w:rsid w:val="00A11730"/>
    <w:rsid w:val="00A13FD3"/>
    <w:rsid w:val="00A22B25"/>
    <w:rsid w:val="00A246DF"/>
    <w:rsid w:val="00A27F80"/>
    <w:rsid w:val="00A313A0"/>
    <w:rsid w:val="00A41762"/>
    <w:rsid w:val="00A47D92"/>
    <w:rsid w:val="00A6799E"/>
    <w:rsid w:val="00A67DF1"/>
    <w:rsid w:val="00A81695"/>
    <w:rsid w:val="00AA1920"/>
    <w:rsid w:val="00AE2A1D"/>
    <w:rsid w:val="00AF37C4"/>
    <w:rsid w:val="00B072BC"/>
    <w:rsid w:val="00B2309C"/>
    <w:rsid w:val="00B541B0"/>
    <w:rsid w:val="00B6088F"/>
    <w:rsid w:val="00B60C1C"/>
    <w:rsid w:val="00B61E72"/>
    <w:rsid w:val="00B67531"/>
    <w:rsid w:val="00C84505"/>
    <w:rsid w:val="00C86DCE"/>
    <w:rsid w:val="00CC0C32"/>
    <w:rsid w:val="00CD6AD6"/>
    <w:rsid w:val="00D044A3"/>
    <w:rsid w:val="00D22A0A"/>
    <w:rsid w:val="00D2618E"/>
    <w:rsid w:val="00D34C11"/>
    <w:rsid w:val="00D454A4"/>
    <w:rsid w:val="00D6424B"/>
    <w:rsid w:val="00D93298"/>
    <w:rsid w:val="00DC51DA"/>
    <w:rsid w:val="00DE1F5D"/>
    <w:rsid w:val="00E149BA"/>
    <w:rsid w:val="00E41ACC"/>
    <w:rsid w:val="00E7288D"/>
    <w:rsid w:val="00E83582"/>
    <w:rsid w:val="00EA15D9"/>
    <w:rsid w:val="00EA75E6"/>
    <w:rsid w:val="00EB05E4"/>
    <w:rsid w:val="00F019C9"/>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22385-08AD-46B6-BEEE-FF4EA09F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6</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87</cp:revision>
  <cp:lastPrinted>2015-10-14T09:07:00Z</cp:lastPrinted>
  <dcterms:created xsi:type="dcterms:W3CDTF">2014-06-30T14:00:00Z</dcterms:created>
  <dcterms:modified xsi:type="dcterms:W3CDTF">2015-10-15T12:53:00Z</dcterms:modified>
</cp:coreProperties>
</file>