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727" w14:textId="325F0EFA" w:rsidR="003431D1" w:rsidRPr="007B0626" w:rsidRDefault="00817C78" w:rsidP="007B0626">
      <w:pPr>
        <w:jc w:val="center"/>
        <w:rPr>
          <w:b/>
          <w:sz w:val="28"/>
          <w:szCs w:val="28"/>
        </w:rPr>
      </w:pPr>
      <w:r w:rsidRPr="00817C78">
        <w:rPr>
          <w:b/>
          <w:sz w:val="28"/>
          <w:szCs w:val="28"/>
        </w:rPr>
        <w:t>SILICON DIOXIDE (SiO2) DOP AND NANOPARTICLES</w:t>
      </w:r>
      <w:r w:rsidRPr="00817C78">
        <w:rPr>
          <w:b/>
          <w:sz w:val="28"/>
          <w:szCs w:val="28"/>
        </w:rPr>
        <w:t xml:space="preserve"> </w:t>
      </w:r>
    </w:p>
    <w:p w14:paraId="35CD32B2" w14:textId="20988F51" w:rsidR="003431D1" w:rsidRPr="007B0626" w:rsidRDefault="007B0626" w:rsidP="007B0626">
      <w:pPr>
        <w:jc w:val="center"/>
        <w:rPr>
          <w:b/>
          <w:i/>
          <w:sz w:val="28"/>
          <w:szCs w:val="28"/>
        </w:rPr>
      </w:pPr>
      <w:r w:rsidRPr="007B0626">
        <w:rPr>
          <w:b/>
          <w:i/>
          <w:sz w:val="28"/>
          <w:szCs w:val="28"/>
        </w:rPr>
        <w:t>VERSI</w:t>
      </w:r>
      <w:r w:rsidR="00817C78">
        <w:rPr>
          <w:b/>
          <w:i/>
          <w:sz w:val="28"/>
          <w:szCs w:val="28"/>
        </w:rPr>
        <w:t>O</w:t>
      </w:r>
      <w:r w:rsidRPr="007B0626">
        <w:rPr>
          <w:b/>
          <w:i/>
          <w:sz w:val="28"/>
          <w:szCs w:val="28"/>
        </w:rPr>
        <w:t>N 1.0</w:t>
      </w:r>
    </w:p>
    <w:p w14:paraId="1C1EB680" w14:textId="3DEA738F" w:rsidR="003431D1" w:rsidRDefault="00817C78">
      <w:pPr>
        <w:jc w:val="righ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Produced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 w:rsidR="007445C3">
        <w:rPr>
          <w:b/>
          <w:sz w:val="26"/>
          <w:szCs w:val="26"/>
        </w:rPr>
        <w:t>: Natalia López Barbosa</w:t>
      </w:r>
    </w:p>
    <w:p w14:paraId="614C0C30" w14:textId="664A1982" w:rsidR="003431D1" w:rsidRPr="007B0626" w:rsidRDefault="007445C3" w:rsidP="007B0626">
      <w:pPr>
        <w:pStyle w:val="Ttulo1"/>
        <w:numPr>
          <w:ilvl w:val="0"/>
          <w:numId w:val="8"/>
        </w:numPr>
      </w:pPr>
      <w:r w:rsidRPr="007B0626">
        <w:t>OBJE</w:t>
      </w:r>
      <w:r w:rsidR="00817C78">
        <w:t>C</w:t>
      </w:r>
      <w:r w:rsidRPr="007B0626">
        <w:t>TIV</w:t>
      </w:r>
      <w:r w:rsidR="00817C78">
        <w:t>E</w:t>
      </w:r>
    </w:p>
    <w:p w14:paraId="3D7C766A" w14:textId="260B191E" w:rsidR="003431D1" w:rsidRPr="00670DA5" w:rsidRDefault="00817C78">
      <w:pPr>
        <w:tabs>
          <w:tab w:val="left" w:pos="720"/>
        </w:tabs>
      </w:pPr>
      <w:proofErr w:type="spellStart"/>
      <w:r w:rsidRPr="00817C78">
        <w:rPr>
          <w:bCs/>
        </w:rPr>
        <w:t>To</w:t>
      </w:r>
      <w:proofErr w:type="spellEnd"/>
      <w:r w:rsidRPr="00817C78">
        <w:rPr>
          <w:bCs/>
        </w:rPr>
        <w:t xml:space="preserve"> </w:t>
      </w:r>
      <w:proofErr w:type="spellStart"/>
      <w:r w:rsidRPr="00817C78">
        <w:rPr>
          <w:bCs/>
        </w:rPr>
        <w:t>suspend</w:t>
      </w:r>
      <w:proofErr w:type="spellEnd"/>
      <w:r w:rsidRPr="00817C78">
        <w:rPr>
          <w:bCs/>
        </w:rPr>
        <w:t xml:space="preserve"> Silicon </w:t>
      </w:r>
      <w:proofErr w:type="spellStart"/>
      <w:r w:rsidRPr="00817C78">
        <w:rPr>
          <w:bCs/>
        </w:rPr>
        <w:t>Dioxide</w:t>
      </w:r>
      <w:proofErr w:type="spellEnd"/>
      <w:r w:rsidRPr="00817C78">
        <w:rPr>
          <w:bCs/>
        </w:rPr>
        <w:t xml:space="preserve"> (SiO2) </w:t>
      </w:r>
      <w:proofErr w:type="spellStart"/>
      <w:r w:rsidRPr="00817C78">
        <w:rPr>
          <w:bCs/>
        </w:rPr>
        <w:t>nanoparticles</w:t>
      </w:r>
      <w:proofErr w:type="spellEnd"/>
      <w:r w:rsidRPr="00817C78">
        <w:rPr>
          <w:bCs/>
        </w:rPr>
        <w:t xml:space="preserve"> in DOP.</w:t>
      </w:r>
    </w:p>
    <w:p w14:paraId="6AD78657" w14:textId="47F787A3" w:rsidR="003431D1" w:rsidRDefault="007445C3" w:rsidP="007B0626">
      <w:pPr>
        <w:pStyle w:val="Ttulo1"/>
        <w:numPr>
          <w:ilvl w:val="0"/>
          <w:numId w:val="8"/>
        </w:numPr>
      </w:pPr>
      <w:r>
        <w:t>REQUI</w:t>
      </w:r>
      <w:r w:rsidR="00817C78">
        <w:t>REMENTS</w:t>
      </w:r>
    </w:p>
    <w:p w14:paraId="69499C88" w14:textId="40530F69" w:rsidR="003431D1" w:rsidRPr="00817C78" w:rsidRDefault="00817C78">
      <w:pPr>
        <w:tabs>
          <w:tab w:val="left" w:pos="0"/>
        </w:tabs>
        <w:rPr>
          <w:lang w:val="en-US"/>
        </w:rPr>
      </w:pPr>
      <w:r w:rsidRPr="00817C78">
        <w:rPr>
          <w:bCs/>
          <w:lang w:val="en-US"/>
        </w:rPr>
        <w:t xml:space="preserve">To follow this tutorial, it is necessary to have training </w:t>
      </w:r>
      <w:proofErr w:type="gramStart"/>
      <w:r w:rsidRPr="00817C78">
        <w:rPr>
          <w:bCs/>
          <w:lang w:val="en-US"/>
        </w:rPr>
        <w:t>in:</w:t>
      </w:r>
      <w:proofErr w:type="gramEnd"/>
      <w:r w:rsidRPr="00817C78">
        <w:rPr>
          <w:bCs/>
          <w:lang w:val="en-US"/>
        </w:rPr>
        <w:t xml:space="preserve"> centrifugation, pipetting, and use of a hotplate</w:t>
      </w:r>
      <w:r w:rsidR="00670DA5" w:rsidRPr="00817C78">
        <w:rPr>
          <w:bCs/>
          <w:lang w:val="en-US"/>
        </w:rPr>
        <w:t>.</w:t>
      </w:r>
    </w:p>
    <w:p w14:paraId="48070105" w14:textId="77777777" w:rsidR="003431D1" w:rsidRDefault="007445C3" w:rsidP="007B0626">
      <w:pPr>
        <w:pStyle w:val="Ttulo1"/>
        <w:numPr>
          <w:ilvl w:val="0"/>
          <w:numId w:val="8"/>
        </w:numPr>
      </w:pPr>
      <w:r>
        <w:t>REQUISITOS DE SOFTWARE</w:t>
      </w:r>
    </w:p>
    <w:p w14:paraId="4FBF0112" w14:textId="0D0638D4" w:rsidR="003431D1" w:rsidRDefault="007445C3">
      <w:pPr>
        <w:spacing w:after="200" w:line="276" w:lineRule="auto"/>
      </w:pPr>
      <w:proofErr w:type="spellStart"/>
      <w:r>
        <w:t>N</w:t>
      </w:r>
      <w:r w:rsidR="00817C78">
        <w:t>one</w:t>
      </w:r>
      <w:proofErr w:type="spellEnd"/>
      <w:r>
        <w:t>.</w:t>
      </w:r>
    </w:p>
    <w:p w14:paraId="6D98EAB9" w14:textId="68688410" w:rsidR="003431D1" w:rsidRDefault="00817C78" w:rsidP="007B0626">
      <w:pPr>
        <w:pStyle w:val="Ttulo1"/>
        <w:numPr>
          <w:ilvl w:val="0"/>
          <w:numId w:val="8"/>
        </w:numPr>
      </w:pPr>
      <w:r>
        <w:t>STEP BY STEP</w:t>
      </w:r>
    </w:p>
    <w:p w14:paraId="1E71BD96" w14:textId="73A1EC31" w:rsidR="003431D1" w:rsidRPr="00817C78" w:rsidRDefault="00817C78" w:rsidP="007B0626">
      <w:pPr>
        <w:pStyle w:val="Ttulo2"/>
        <w:numPr>
          <w:ilvl w:val="1"/>
          <w:numId w:val="8"/>
        </w:numPr>
        <w:rPr>
          <w:rFonts w:eastAsia="Arial"/>
          <w:vertAlign w:val="subscript"/>
          <w:lang w:val="en-US"/>
        </w:rPr>
      </w:pPr>
      <w:r w:rsidRPr="00817C78">
        <w:rPr>
          <w:rFonts w:eastAsia="Arial"/>
          <w:lang w:val="en-US"/>
        </w:rPr>
        <w:t>EXTRACTION AND CONCENTRATION OF SiO2 NANOPARTICLES</w:t>
      </w:r>
    </w:p>
    <w:p w14:paraId="30583CAC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Place 12 1.5mL Eppendorf tubes in an Eppendorf rack.</w:t>
      </w:r>
    </w:p>
    <w:p w14:paraId="441C5519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Shake the container in which the SiO2 nanoparticle buffer is stored.</w:t>
      </w:r>
    </w:p>
    <w:p w14:paraId="0DF965EB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Using a micropipette, add 1mL of the SiO2 nanoparticle buffer to each of the Eppendorf tubes.</w:t>
      </w:r>
    </w:p>
    <w:p w14:paraId="33C7A6F0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Close the lids of the Eppendorf tubes to prevent spills.</w:t>
      </w:r>
    </w:p>
    <w:p w14:paraId="503B257F" w14:textId="0D5C125E" w:rsidR="007B0626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Place the 12 Eppendorf tubes inside the centrifuge</w:t>
      </w:r>
      <w:r w:rsidR="00103FD6" w:rsidRPr="00817C78">
        <w:rPr>
          <w:lang w:val="en-US"/>
        </w:rPr>
        <w:t xml:space="preserve">. </w:t>
      </w:r>
    </w:p>
    <w:p w14:paraId="081A6A0F" w14:textId="63F8A6E6" w:rsidR="00ED7EDB" w:rsidRPr="00817C78" w:rsidRDefault="00817C78" w:rsidP="007B0626">
      <w:pPr>
        <w:rPr>
          <w:lang w:val="en-US"/>
        </w:rPr>
      </w:pPr>
      <w:r w:rsidRPr="00817C78">
        <w:rPr>
          <w:b/>
          <w:i/>
          <w:lang w:val="en-US"/>
        </w:rPr>
        <w:t xml:space="preserve">Note: </w:t>
      </w:r>
      <w:r w:rsidRPr="00817C78">
        <w:rPr>
          <w:bCs/>
          <w:iCs/>
          <w:lang w:val="en-US"/>
        </w:rPr>
        <w:t xml:space="preserve">If you wish to extract a smaller volume and use a lower number of Eppendorf tubes, they must </w:t>
      </w:r>
      <w:proofErr w:type="gramStart"/>
      <w:r w:rsidRPr="00817C78">
        <w:rPr>
          <w:bCs/>
          <w:iCs/>
          <w:lang w:val="en-US"/>
        </w:rPr>
        <w:t>be located in</w:t>
      </w:r>
      <w:proofErr w:type="gramEnd"/>
      <w:r w:rsidRPr="00817C78">
        <w:rPr>
          <w:bCs/>
          <w:iCs/>
          <w:lang w:val="en-US"/>
        </w:rPr>
        <w:t xml:space="preserve"> such a way that the centrifuge remains balanced. Figure 1 shows the correct way to position 4 Eppendorf tubes in the centrifuge</w:t>
      </w:r>
      <w:r w:rsidR="00103FD6" w:rsidRPr="00817C78">
        <w:rPr>
          <w:i/>
          <w:lang w:val="en-US"/>
        </w:rPr>
        <w:t>.</w:t>
      </w:r>
    </w:p>
    <w:p w14:paraId="78636AA8" w14:textId="77777777" w:rsidR="00ED7EDB" w:rsidRDefault="00ED7EDB" w:rsidP="00ED7EDB">
      <w:pPr>
        <w:pStyle w:val="TextBody"/>
        <w:ind w:left="720"/>
        <w:jc w:val="center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noProof/>
          <w:color w:val="000000"/>
          <w:sz w:val="24"/>
          <w:szCs w:val="24"/>
          <w:lang w:val="es-CO" w:eastAsia="es-CO"/>
        </w:rPr>
        <w:lastRenderedPageBreak/>
        <w:drawing>
          <wp:inline distT="0" distB="0" distL="0" distR="0" wp14:anchorId="66994629" wp14:editId="2125762D">
            <wp:extent cx="2162175" cy="220211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11" cy="2208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FAB7D" w14:textId="77777777" w:rsidR="00ED7EDB" w:rsidRDefault="00ED7EDB" w:rsidP="00ED7EDB">
      <w:pPr>
        <w:pStyle w:val="TextBody"/>
        <w:ind w:left="720"/>
        <w:jc w:val="center"/>
        <w:rPr>
          <w:rFonts w:ascii="Arial" w:eastAsia="Arial" w:hAnsi="Arial" w:cs="Arial"/>
          <w:iCs/>
          <w:color w:val="000000"/>
          <w:sz w:val="24"/>
          <w:szCs w:val="24"/>
        </w:rPr>
      </w:pPr>
    </w:p>
    <w:p w14:paraId="2362A903" w14:textId="3697D8C6" w:rsidR="00ED7EDB" w:rsidRPr="00817C78" w:rsidRDefault="00817C78" w:rsidP="00ED7EDB">
      <w:pPr>
        <w:pStyle w:val="TextBody"/>
        <w:ind w:left="720"/>
        <w:jc w:val="center"/>
        <w:rPr>
          <w:rStyle w:val="nfasisintenso"/>
          <w:rFonts w:eastAsia="Arial"/>
          <w:lang w:val="en-US"/>
        </w:rPr>
      </w:pPr>
      <w:r w:rsidRPr="00817C78">
        <w:rPr>
          <w:rStyle w:val="nfasisintenso"/>
          <w:rFonts w:eastAsia="Arial"/>
          <w:lang w:val="en-US"/>
        </w:rPr>
        <w:t>Figure 1. Location of 4 Eppendorf tubes inside the centrifuge</w:t>
      </w:r>
      <w:r w:rsidR="00ED7EDB" w:rsidRPr="00817C78">
        <w:rPr>
          <w:rStyle w:val="nfasisintenso"/>
          <w:rFonts w:eastAsia="Arial"/>
          <w:lang w:val="en-US"/>
        </w:rPr>
        <w:t xml:space="preserve">. </w:t>
      </w:r>
    </w:p>
    <w:p w14:paraId="1AFAA053" w14:textId="77777777" w:rsidR="00B02361" w:rsidRPr="00817C78" w:rsidRDefault="00B02361" w:rsidP="00ED7EDB">
      <w:pPr>
        <w:pStyle w:val="TextBody"/>
        <w:ind w:left="720"/>
        <w:jc w:val="center"/>
        <w:rPr>
          <w:rStyle w:val="nfasisintenso"/>
          <w:rFonts w:eastAsia="Arial"/>
          <w:lang w:val="en-US"/>
        </w:rPr>
      </w:pPr>
    </w:p>
    <w:p w14:paraId="69197ACF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Set the centrifuge to 14600 rpm for 20 minutes.</w:t>
      </w:r>
    </w:p>
    <w:p w14:paraId="11893CA8" w14:textId="77777777" w:rsidR="00817C78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Close the centrifuge and start the program.</w:t>
      </w:r>
    </w:p>
    <w:p w14:paraId="0031059A" w14:textId="58E8AA42" w:rsidR="007B0626" w:rsidRPr="00817C78" w:rsidRDefault="00817C78" w:rsidP="00817C78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After 20 minutes, open the centrifuge and remove the Eppendorf tubes</w:t>
      </w:r>
      <w:r w:rsidR="00B02361" w:rsidRPr="00817C78">
        <w:rPr>
          <w:lang w:val="en-US"/>
        </w:rPr>
        <w:t>.</w:t>
      </w:r>
    </w:p>
    <w:p w14:paraId="5A020B54" w14:textId="07EB266C" w:rsidR="00B02361" w:rsidRPr="00817C78" w:rsidRDefault="00817C78" w:rsidP="007B0626">
      <w:pPr>
        <w:rPr>
          <w:lang w:val="en-US"/>
        </w:rPr>
      </w:pPr>
      <w:r w:rsidRPr="00817C78">
        <w:rPr>
          <w:b/>
          <w:i/>
          <w:lang w:val="en-US"/>
        </w:rPr>
        <w:t xml:space="preserve">Note: </w:t>
      </w:r>
      <w:r w:rsidRPr="00817C78">
        <w:rPr>
          <w:bCs/>
          <w:iCs/>
          <w:lang w:val="en-US"/>
        </w:rPr>
        <w:t xml:space="preserve">The Eppendorf tubes must </w:t>
      </w:r>
      <w:proofErr w:type="gramStart"/>
      <w:r w:rsidRPr="00817C78">
        <w:rPr>
          <w:bCs/>
          <w:iCs/>
          <w:lang w:val="en-US"/>
        </w:rPr>
        <w:t>remain upright at all times</w:t>
      </w:r>
      <w:proofErr w:type="gramEnd"/>
      <w:r w:rsidRPr="00817C78">
        <w:rPr>
          <w:bCs/>
          <w:iCs/>
          <w:lang w:val="en-US"/>
        </w:rPr>
        <w:t xml:space="preserve"> for the effect of centrifugation to remain in them. Keep the Eppendorf tubes closed and upright for at least 4 hours. This process increases the concentration of SiO2 nanoparticles in the lower half of the Eppendorf tubes by 23.44%</w:t>
      </w:r>
      <w:r w:rsidR="00B02361" w:rsidRPr="00817C78">
        <w:rPr>
          <w:bCs/>
          <w:iCs/>
          <w:lang w:val="en-US"/>
        </w:rPr>
        <w:t>.</w:t>
      </w:r>
    </w:p>
    <w:p w14:paraId="1B7972A7" w14:textId="25D0AFEC" w:rsidR="00B02361" w:rsidRPr="00817C78" w:rsidRDefault="00817C78" w:rsidP="007B0626">
      <w:pPr>
        <w:pStyle w:val="Prrafodelista"/>
        <w:numPr>
          <w:ilvl w:val="0"/>
          <w:numId w:val="9"/>
        </w:numPr>
        <w:rPr>
          <w:lang w:val="en-US"/>
        </w:rPr>
      </w:pPr>
      <w:r w:rsidRPr="00817C78">
        <w:rPr>
          <w:lang w:val="en-US"/>
        </w:rPr>
        <w:t>Discard 500µL of the upper volume of each Eppendorf tube</w:t>
      </w:r>
      <w:r w:rsidR="00B02361" w:rsidRPr="00817C78">
        <w:rPr>
          <w:lang w:val="en-US"/>
        </w:rPr>
        <w:t xml:space="preserve">. </w:t>
      </w:r>
    </w:p>
    <w:p w14:paraId="1D30420B" w14:textId="2000DFA2" w:rsidR="00142CF5" w:rsidRPr="00817C78" w:rsidRDefault="00817C78" w:rsidP="007B0626">
      <w:pPr>
        <w:pStyle w:val="Ttulo2"/>
        <w:numPr>
          <w:ilvl w:val="1"/>
          <w:numId w:val="8"/>
        </w:numPr>
        <w:rPr>
          <w:rFonts w:eastAsia="Arial"/>
          <w:lang w:val="en-US"/>
        </w:rPr>
      </w:pPr>
      <w:r w:rsidRPr="00817C78">
        <w:rPr>
          <w:rFonts w:eastAsia="Arial"/>
          <w:lang w:val="en-US"/>
        </w:rPr>
        <w:t>SUSPENSION OF SiO2 NANOPARTICLES IN DOP</w:t>
      </w:r>
    </w:p>
    <w:p w14:paraId="797DA2FC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Use a 50mL Falcon tube and place the 6mL extracted in the previous procedure.</w:t>
      </w:r>
    </w:p>
    <w:p w14:paraId="63E2A65D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Fill the remaining volume of the Falcon tube with DOP.</w:t>
      </w:r>
    </w:p>
    <w:p w14:paraId="091531B4" w14:textId="77777777" w:rsidR="00817C78" w:rsidRDefault="00817C78" w:rsidP="00817C78">
      <w:pPr>
        <w:pStyle w:val="Prrafodelista"/>
        <w:numPr>
          <w:ilvl w:val="0"/>
          <w:numId w:val="10"/>
        </w:numPr>
      </w:pPr>
      <w:r w:rsidRPr="00817C78">
        <w:rPr>
          <w:lang w:val="en-US"/>
        </w:rPr>
        <w:t xml:space="preserve">Vigorously shake the Falcon tube for 1 hour. It is important to observe that the aqueous and DOP phases mix.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0D2079CB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Pour the contents of the Falcon tube into a glass Beaker.</w:t>
      </w:r>
    </w:p>
    <w:p w14:paraId="31ED2B73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Place the glass on the hotplate and set it to 60°C.</w:t>
      </w:r>
    </w:p>
    <w:p w14:paraId="72A8B849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Stir the solution for 30 minutes.</w:t>
      </w:r>
    </w:p>
    <w:p w14:paraId="4DB2BCBC" w14:textId="77777777" w:rsidR="00817C78" w:rsidRDefault="00817C78" w:rsidP="00817C78">
      <w:pPr>
        <w:pStyle w:val="Prrafodelista"/>
        <w:numPr>
          <w:ilvl w:val="0"/>
          <w:numId w:val="10"/>
        </w:numPr>
      </w:pPr>
      <w:proofErr w:type="spellStart"/>
      <w:r>
        <w:lastRenderedPageBreak/>
        <w:t>Turn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hotplate</w:t>
      </w:r>
      <w:proofErr w:type="spellEnd"/>
      <w:r>
        <w:t>.</w:t>
      </w:r>
    </w:p>
    <w:p w14:paraId="5CFF47A5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Once the Beaker has cooled, remove it from the hotplate and place it in an area where it can remain static.</w:t>
      </w:r>
    </w:p>
    <w:p w14:paraId="486C6C7E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Wait for the aqueous phase to separate from the DOP. It should be located at the bottom of the Beaker.</w:t>
      </w:r>
    </w:p>
    <w:p w14:paraId="028AF8AA" w14:textId="77777777" w:rsidR="00817C78" w:rsidRPr="00817C78" w:rsidRDefault="00817C78" w:rsidP="00817C78">
      <w:pPr>
        <w:pStyle w:val="Prrafodelista"/>
        <w:numPr>
          <w:ilvl w:val="0"/>
          <w:numId w:val="10"/>
        </w:numPr>
        <w:rPr>
          <w:lang w:val="en-US"/>
        </w:rPr>
      </w:pPr>
      <w:r w:rsidRPr="00817C78">
        <w:rPr>
          <w:lang w:val="en-US"/>
        </w:rPr>
        <w:t>Remove the non-aqueous phase to a container where it can be stored. This contains the DOP with the suspended SiO2 nanoparticles. Be careful not to remove the aqueous phase.</w:t>
      </w:r>
    </w:p>
    <w:p w14:paraId="64EED928" w14:textId="287251E6" w:rsidR="003431D1" w:rsidRPr="007B0626" w:rsidRDefault="00817C78" w:rsidP="00817C78">
      <w:pPr>
        <w:pStyle w:val="Prrafodelista"/>
        <w:numPr>
          <w:ilvl w:val="0"/>
          <w:numId w:val="10"/>
        </w:numPr>
      </w:pP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aqueous</w:t>
      </w:r>
      <w:proofErr w:type="spellEnd"/>
      <w:r>
        <w:t xml:space="preserve"> </w:t>
      </w:r>
      <w:proofErr w:type="spellStart"/>
      <w:r>
        <w:t>phase</w:t>
      </w:r>
      <w:proofErr w:type="spellEnd"/>
      <w:r w:rsidR="002065AF">
        <w:t xml:space="preserve">. </w:t>
      </w:r>
    </w:p>
    <w:p w14:paraId="3A0DC93F" w14:textId="0B65B1B6" w:rsidR="003431D1" w:rsidRDefault="00817C78" w:rsidP="007B0626">
      <w:pPr>
        <w:pStyle w:val="Ttulo1"/>
        <w:numPr>
          <w:ilvl w:val="0"/>
          <w:numId w:val="8"/>
        </w:numPr>
      </w:pPr>
      <w:r>
        <w:t>CHANGE CONTROL</w:t>
      </w:r>
    </w:p>
    <w:tbl>
      <w:tblPr>
        <w:tblStyle w:val="Tablaconcuadrcula"/>
        <w:tblW w:w="9518" w:type="dxa"/>
        <w:jc w:val="center"/>
        <w:tblLook w:val="04A0" w:firstRow="1" w:lastRow="0" w:firstColumn="1" w:lastColumn="0" w:noHBand="0" w:noVBand="1"/>
      </w:tblPr>
      <w:tblGrid>
        <w:gridCol w:w="4242"/>
        <w:gridCol w:w="1363"/>
        <w:gridCol w:w="1208"/>
        <w:gridCol w:w="2705"/>
      </w:tblGrid>
      <w:tr w:rsidR="003431D1" w14:paraId="51827326" w14:textId="77777777" w:rsidTr="007B0626">
        <w:trPr>
          <w:trHeight w:val="315"/>
          <w:jc w:val="center"/>
        </w:trPr>
        <w:tc>
          <w:tcPr>
            <w:tcW w:w="4242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3DEE3713" w14:textId="3DFBFC71" w:rsidR="003431D1" w:rsidRDefault="00817C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3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76C3AECA" w14:textId="354C3CAB" w:rsidR="003431D1" w:rsidRDefault="00817C78">
            <w:pPr>
              <w:spacing w:line="240" w:lineRule="auto"/>
              <w:ind w:left="218" w:hanging="218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08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4C1561E2" w14:textId="13851D54" w:rsidR="003431D1" w:rsidRDefault="007445C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</w:t>
            </w:r>
            <w:r w:rsidR="00817C78">
              <w:rPr>
                <w:b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270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14:paraId="6B590785" w14:textId="1A5E39DF" w:rsidR="003431D1" w:rsidRDefault="00817C7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3431D1" w14:paraId="051798D4" w14:textId="77777777" w:rsidTr="007B0626">
        <w:trPr>
          <w:trHeight w:val="605"/>
          <w:jc w:val="center"/>
        </w:trPr>
        <w:tc>
          <w:tcPr>
            <w:tcW w:w="4242" w:type="dxa"/>
            <w:shd w:val="clear" w:color="auto" w:fill="auto"/>
            <w:tcMar>
              <w:left w:w="108" w:type="dxa"/>
            </w:tcMar>
          </w:tcPr>
          <w:p w14:paraId="14886022" w14:textId="77777777" w:rsidR="003431D1" w:rsidRDefault="003431D1">
            <w:pPr>
              <w:spacing w:line="240" w:lineRule="auto"/>
              <w:jc w:val="left"/>
            </w:pPr>
          </w:p>
        </w:tc>
        <w:tc>
          <w:tcPr>
            <w:tcW w:w="1363" w:type="dxa"/>
            <w:shd w:val="clear" w:color="auto" w:fill="auto"/>
            <w:tcMar>
              <w:left w:w="108" w:type="dxa"/>
            </w:tcMar>
          </w:tcPr>
          <w:p w14:paraId="4EDCBE56" w14:textId="77777777" w:rsidR="003431D1" w:rsidRDefault="003431D1">
            <w:pPr>
              <w:spacing w:line="240" w:lineRule="auto"/>
              <w:jc w:val="center"/>
            </w:pPr>
          </w:p>
        </w:tc>
        <w:tc>
          <w:tcPr>
            <w:tcW w:w="1208" w:type="dxa"/>
            <w:shd w:val="clear" w:color="auto" w:fill="auto"/>
            <w:tcMar>
              <w:left w:w="108" w:type="dxa"/>
            </w:tcMar>
          </w:tcPr>
          <w:p w14:paraId="057EB5BF" w14:textId="77777777" w:rsidR="003431D1" w:rsidRDefault="003431D1">
            <w:pPr>
              <w:spacing w:line="240" w:lineRule="auto"/>
              <w:jc w:val="center"/>
            </w:pPr>
          </w:p>
        </w:tc>
        <w:tc>
          <w:tcPr>
            <w:tcW w:w="2705" w:type="dxa"/>
            <w:shd w:val="clear" w:color="auto" w:fill="auto"/>
            <w:tcMar>
              <w:left w:w="108" w:type="dxa"/>
            </w:tcMar>
          </w:tcPr>
          <w:p w14:paraId="690F2552" w14:textId="77777777" w:rsidR="003431D1" w:rsidRDefault="003431D1">
            <w:pPr>
              <w:spacing w:line="240" w:lineRule="auto"/>
              <w:jc w:val="center"/>
            </w:pPr>
          </w:p>
        </w:tc>
      </w:tr>
    </w:tbl>
    <w:p w14:paraId="754EAEEA" w14:textId="77777777" w:rsidR="003431D1" w:rsidRDefault="003431D1" w:rsidP="007B0626">
      <w:pPr>
        <w:spacing w:after="200" w:line="276" w:lineRule="auto"/>
        <w:jc w:val="left"/>
      </w:pPr>
    </w:p>
    <w:sectPr w:rsidR="003431D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8" w:right="1701" w:bottom="1418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0D96" w14:textId="77777777" w:rsidR="00440136" w:rsidRDefault="00440136">
      <w:pPr>
        <w:spacing w:line="240" w:lineRule="auto"/>
      </w:pPr>
      <w:r>
        <w:separator/>
      </w:r>
    </w:p>
    <w:p w14:paraId="39AD0A1C" w14:textId="77777777" w:rsidR="00440136" w:rsidRDefault="00440136"/>
  </w:endnote>
  <w:endnote w:type="continuationSeparator" w:id="0">
    <w:p w14:paraId="7722FC50" w14:textId="77777777" w:rsidR="00440136" w:rsidRDefault="00440136">
      <w:pPr>
        <w:spacing w:line="240" w:lineRule="auto"/>
      </w:pPr>
      <w:r>
        <w:continuationSeparator/>
      </w:r>
    </w:p>
    <w:p w14:paraId="14366D8B" w14:textId="77777777" w:rsidR="00440136" w:rsidRDefault="00440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7B0626" w:rsidRPr="007B0626" w14:paraId="5C1316A4" w14:textId="77777777" w:rsidTr="00431F6A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14:paraId="2454A840" w14:textId="3E2AD206" w:rsidR="007B0626" w:rsidRPr="007B0626" w:rsidRDefault="00817C78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PRODUCED BY</w:t>
          </w:r>
          <w:r w:rsidR="007B0626" w:rsidRPr="007B0626">
            <w:rPr>
              <w:b/>
              <w:sz w:val="18"/>
              <w:szCs w:val="18"/>
            </w:rPr>
            <w:t>:</w:t>
          </w:r>
        </w:p>
        <w:p w14:paraId="5EC76CCD" w14:textId="77777777"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 w:rsidRPr="007B0626">
            <w:rPr>
              <w:sz w:val="18"/>
              <w:szCs w:val="18"/>
            </w:rPr>
            <w:t>N.</w:t>
          </w:r>
          <w:r>
            <w:rPr>
              <w:sz w:val="18"/>
              <w:szCs w:val="18"/>
            </w:rPr>
            <w:t>LB</w:t>
          </w:r>
          <w:r w:rsidRPr="007B0626">
            <w:rPr>
              <w:sz w:val="18"/>
              <w:szCs w:val="18"/>
            </w:rPr>
            <w:t>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23A5CE3D" w14:textId="038A32A1" w:rsidR="007B0626" w:rsidRPr="007B0626" w:rsidRDefault="00817C78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REVISED BY</w:t>
          </w:r>
          <w:r w:rsidR="007B0626" w:rsidRPr="007B0626">
            <w:rPr>
              <w:b/>
              <w:sz w:val="18"/>
              <w:szCs w:val="18"/>
            </w:rPr>
            <w:t>:</w:t>
          </w:r>
        </w:p>
        <w:p w14:paraId="2AE5C4DE" w14:textId="77777777"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 w:rsidRPr="007B0626">
            <w:rPr>
              <w:sz w:val="18"/>
              <w:szCs w:val="18"/>
            </w:rPr>
            <w:t>N.R.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14:paraId="4BBE2FCC" w14:textId="6B2498E2" w:rsidR="007B0626" w:rsidRPr="007B0626" w:rsidRDefault="00817C78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APPROVED BY</w:t>
          </w:r>
          <w:r w:rsidR="007B0626" w:rsidRPr="007B0626">
            <w:rPr>
              <w:b/>
              <w:sz w:val="18"/>
              <w:szCs w:val="18"/>
            </w:rPr>
            <w:t>:</w:t>
          </w:r>
        </w:p>
        <w:p w14:paraId="5A3C72F5" w14:textId="77777777" w:rsidR="007B0626" w:rsidRPr="007B0626" w:rsidRDefault="007B0626" w:rsidP="007B0626">
          <w:pPr>
            <w:tabs>
              <w:tab w:val="center" w:pos="4419"/>
              <w:tab w:val="right" w:pos="8838"/>
            </w:tabs>
            <w:spacing w:before="120" w:after="120" w:line="240" w:lineRule="auto"/>
            <w:jc w:val="center"/>
            <w:rPr>
              <w:sz w:val="18"/>
              <w:szCs w:val="18"/>
            </w:rPr>
          </w:pPr>
          <w:bookmarkStart w:id="0" w:name="OLE_LINK1"/>
          <w:r w:rsidRPr="007B0626">
            <w:rPr>
              <w:sz w:val="18"/>
              <w:szCs w:val="18"/>
            </w:rPr>
            <w:t>J.F.O.</w:t>
          </w:r>
        </w:p>
      </w:tc>
    </w:tr>
  </w:tbl>
  <w:bookmarkEnd w:id="0"/>
  <w:p w14:paraId="53206DE7" w14:textId="17FFA25A" w:rsidR="003431D1" w:rsidRPr="00817C78" w:rsidRDefault="00817C78" w:rsidP="007B0626">
    <w:pPr>
      <w:spacing w:before="120" w:after="120" w:line="240" w:lineRule="auto"/>
      <w:jc w:val="center"/>
      <w:rPr>
        <w:lang w:val="en-US"/>
      </w:rPr>
    </w:pPr>
    <w:r w:rsidRPr="00817C78">
      <w:rPr>
        <w:rFonts w:eastAsiaTheme="minorHAnsi"/>
        <w:i/>
        <w:iCs/>
        <w:sz w:val="16"/>
        <w:szCs w:val="16"/>
        <w:lang w:val="en-US" w:eastAsia="en-US"/>
      </w:rPr>
      <w:t xml:space="preserve">The information contained in this document is confidential and for the exclusive use of Universidad de </w:t>
    </w:r>
    <w:proofErr w:type="spellStart"/>
    <w:r w:rsidRPr="00817C78">
      <w:rPr>
        <w:rFonts w:eastAsiaTheme="minorHAnsi"/>
        <w:i/>
        <w:iCs/>
        <w:sz w:val="16"/>
        <w:szCs w:val="16"/>
        <w:lang w:val="en-US" w:eastAsia="en-US"/>
      </w:rPr>
      <w:t>los</w:t>
    </w:r>
    <w:proofErr w:type="spellEnd"/>
    <w:r w:rsidRPr="00817C78">
      <w:rPr>
        <w:rFonts w:eastAsiaTheme="minorHAnsi"/>
        <w:i/>
        <w:iCs/>
        <w:sz w:val="16"/>
        <w:szCs w:val="16"/>
        <w:lang w:val="en-US" w:eastAsia="en-US"/>
      </w:rPr>
      <w:t xml:space="preserve"> Andes. The recipients of this document are responsible for its security and for preventing its unauthorized use</w:t>
    </w:r>
    <w:r w:rsidR="007B0626" w:rsidRPr="00817C78">
      <w:rPr>
        <w:rFonts w:eastAsiaTheme="minorHAnsi"/>
        <w:sz w:val="16"/>
        <w:szCs w:val="16"/>
        <w:lang w:val="en-US" w:eastAsia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BE09" w14:textId="77777777" w:rsidR="00440136" w:rsidRDefault="00440136">
      <w:pPr>
        <w:spacing w:line="240" w:lineRule="auto"/>
      </w:pPr>
      <w:r>
        <w:separator/>
      </w:r>
    </w:p>
    <w:p w14:paraId="62163703" w14:textId="77777777" w:rsidR="00440136" w:rsidRDefault="00440136"/>
  </w:footnote>
  <w:footnote w:type="continuationSeparator" w:id="0">
    <w:p w14:paraId="5B5AB708" w14:textId="77777777" w:rsidR="00440136" w:rsidRDefault="00440136">
      <w:pPr>
        <w:spacing w:line="240" w:lineRule="auto"/>
      </w:pPr>
      <w:r>
        <w:continuationSeparator/>
      </w:r>
    </w:p>
    <w:p w14:paraId="422C81C0" w14:textId="77777777" w:rsidR="00440136" w:rsidRDefault="004401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0308" w14:textId="77777777" w:rsidR="009A62E5" w:rsidRDefault="009A62E5">
    <w:pPr>
      <w:pStyle w:val="Encabezado"/>
    </w:pPr>
  </w:p>
  <w:p w14:paraId="37FF0374" w14:textId="77777777" w:rsidR="00C03FF0" w:rsidRDefault="00C03F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2112AA" w:rsidRPr="00FB7339" w14:paraId="4E4CDF04" w14:textId="77777777" w:rsidTr="005F462E">
      <w:trPr>
        <w:trHeight w:val="253"/>
        <w:jc w:val="center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0E94420F" w14:textId="77777777" w:rsidR="002112AA" w:rsidRPr="000F6971" w:rsidRDefault="002112AA" w:rsidP="002112AA">
          <w:pPr>
            <w:pStyle w:val="Sinespaciado"/>
            <w:jc w:val="center"/>
            <w:rPr>
              <w:rFonts w:cs="Arial"/>
            </w:rPr>
          </w:pPr>
          <w:r w:rsidRPr="000F6971">
            <w:rPr>
              <w:rFonts w:cs="Arial"/>
              <w:noProof/>
              <w:lang w:val="es-CO" w:eastAsia="es-CO"/>
            </w:rPr>
            <w:drawing>
              <wp:inline distT="0" distB="0" distL="0" distR="0" wp14:anchorId="770251D5" wp14:editId="2F0A61E0">
                <wp:extent cx="1337310" cy="514350"/>
                <wp:effectExtent l="0" t="0" r="0" b="0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68B6F7CA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b/>
              <w:lang w:val="en-US"/>
            </w:rPr>
          </w:pPr>
          <w:r w:rsidRPr="008F277F">
            <w:rPr>
              <w:rFonts w:cs="Arial"/>
              <w:b/>
              <w:lang w:val="en-US"/>
            </w:rPr>
            <w:t>Department of Electrical and Electronics Engineering</w:t>
          </w:r>
        </w:p>
      </w:tc>
    </w:tr>
    <w:tr w:rsidR="002112AA" w:rsidRPr="00FB7339" w14:paraId="443913C4" w14:textId="77777777" w:rsidTr="005F462E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76148619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lang w:val="en-US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0C6971A2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b/>
              <w:lang w:val="en-US"/>
            </w:rPr>
          </w:pPr>
          <w:r w:rsidRPr="008F277F">
            <w:rPr>
              <w:rFonts w:cs="Arial"/>
              <w:b/>
              <w:lang w:val="en-US"/>
            </w:rPr>
            <w:t>Electrical and Electronics Engineering Laboratory</w:t>
          </w:r>
        </w:p>
      </w:tc>
    </w:tr>
    <w:tr w:rsidR="002112AA" w:rsidRPr="00FB7339" w14:paraId="56BC01E6" w14:textId="77777777" w:rsidTr="005F462E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5CB81DB8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lang w:val="en-US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1E58FBAE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b/>
              <w:lang w:val="en-US"/>
            </w:rPr>
          </w:pPr>
          <w:r w:rsidRPr="008F277F">
            <w:rPr>
              <w:rFonts w:cs="Arial"/>
              <w:b/>
              <w:lang w:val="en-US"/>
            </w:rPr>
            <w:t>Microelectronics Center, University of the Andes</w:t>
          </w:r>
        </w:p>
      </w:tc>
    </w:tr>
    <w:tr w:rsidR="002112AA" w:rsidRPr="000F6971" w14:paraId="39719917" w14:textId="77777777" w:rsidTr="005F462E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05A1BD88" w14:textId="77777777" w:rsidR="002112AA" w:rsidRPr="008F277F" w:rsidRDefault="002112AA" w:rsidP="002112AA">
          <w:pPr>
            <w:pStyle w:val="Sinespaciado"/>
            <w:jc w:val="center"/>
            <w:rPr>
              <w:rFonts w:cs="Arial"/>
              <w:lang w:val="en-US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28F0D03E" w14:textId="77777777" w:rsidR="002112AA" w:rsidRPr="000F6971" w:rsidRDefault="002112AA" w:rsidP="002112AA">
          <w:pPr>
            <w:pStyle w:val="Sinespaciado"/>
            <w:jc w:val="center"/>
            <w:rPr>
              <w:rFonts w:cs="Arial"/>
              <w:b/>
            </w:rPr>
          </w:pPr>
          <w:proofErr w:type="spellStart"/>
          <w:r w:rsidRPr="008F277F">
            <w:rPr>
              <w:rFonts w:cs="Arial"/>
              <w:b/>
            </w:rPr>
            <w:t>Biosensors</w:t>
          </w:r>
          <w:proofErr w:type="spellEnd"/>
          <w:r w:rsidRPr="008F277F">
            <w:rPr>
              <w:rFonts w:cs="Arial"/>
              <w:b/>
            </w:rPr>
            <w:t xml:space="preserve"> and Microsystems Line</w:t>
          </w:r>
        </w:p>
      </w:tc>
    </w:tr>
    <w:tr w:rsidR="002112AA" w:rsidRPr="00FB7339" w14:paraId="1E735F9D" w14:textId="77777777" w:rsidTr="005F462E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560AD488" w14:textId="77777777" w:rsidR="002112AA" w:rsidRPr="000F6971" w:rsidRDefault="002112AA" w:rsidP="002112AA">
          <w:pPr>
            <w:pStyle w:val="Sinespaciado"/>
            <w:jc w:val="center"/>
            <w:rPr>
              <w:rFonts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788842B0" w14:textId="5B707057" w:rsidR="002112AA" w:rsidRPr="007E239B" w:rsidRDefault="002112AA" w:rsidP="002112AA">
          <w:pPr>
            <w:pStyle w:val="Sinespaciado"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lang w:val="en-US"/>
            </w:rPr>
            <w:t>Manufacture</w:t>
          </w:r>
          <w:r>
            <w:rPr>
              <w:rFonts w:cs="Arial"/>
              <w:b/>
              <w:lang w:val="en-US"/>
            </w:rPr>
            <w:t xml:space="preserve"> Protocol</w:t>
          </w:r>
        </w:p>
      </w:tc>
    </w:tr>
    <w:tr w:rsidR="002112AA" w:rsidRPr="00FB7339" w14:paraId="7948FD1A" w14:textId="77777777" w:rsidTr="005F462E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14:paraId="4B27BF4F" w14:textId="77777777" w:rsidR="002112AA" w:rsidRPr="007E239B" w:rsidRDefault="002112AA" w:rsidP="002112AA">
          <w:pPr>
            <w:pStyle w:val="Sinespaciado"/>
            <w:jc w:val="center"/>
            <w:rPr>
              <w:rFonts w:cs="Arial"/>
              <w:lang w:val="en-US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14:paraId="4EE31928" w14:textId="4AA5B599" w:rsidR="002112AA" w:rsidRPr="008F277F" w:rsidRDefault="002112AA" w:rsidP="002112AA">
          <w:pPr>
            <w:pStyle w:val="Sinespaciado"/>
            <w:jc w:val="center"/>
            <w:rPr>
              <w:rFonts w:cs="Arial"/>
              <w:b/>
              <w:lang w:val="en-US"/>
            </w:rPr>
          </w:pPr>
          <w:r w:rsidRPr="002112AA">
            <w:rPr>
              <w:rFonts w:cs="Arial"/>
              <w:b/>
              <w:lang w:val="en-US"/>
            </w:rPr>
            <w:t>S</w:t>
          </w:r>
          <w:r>
            <w:rPr>
              <w:rFonts w:cs="Arial"/>
              <w:b/>
              <w:lang w:val="en-US"/>
            </w:rPr>
            <w:t>ilicon dioxide</w:t>
          </w:r>
          <w:r w:rsidRPr="002112AA">
            <w:rPr>
              <w:rFonts w:cs="Arial"/>
              <w:b/>
              <w:lang w:val="en-US"/>
            </w:rPr>
            <w:t xml:space="preserve"> (SiO2) DOP </w:t>
          </w:r>
          <w:r>
            <w:rPr>
              <w:rFonts w:cs="Arial"/>
              <w:b/>
              <w:lang w:val="en-US"/>
            </w:rPr>
            <w:t>and nanoparticles</w:t>
          </w:r>
        </w:p>
      </w:tc>
    </w:tr>
    <w:tr w:rsidR="002112AA" w:rsidRPr="000F6971" w14:paraId="0FCE438E" w14:textId="77777777" w:rsidTr="005F462E">
      <w:trPr>
        <w:trHeight w:val="253"/>
        <w:jc w:val="center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14:paraId="0022CC08" w14:textId="5A2D1A97" w:rsidR="002112AA" w:rsidRPr="000F6971" w:rsidRDefault="002112AA" w:rsidP="002112AA">
          <w:pPr>
            <w:pStyle w:val="Sinespaciado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Date</w:t>
          </w:r>
          <w:r w:rsidRPr="000F6971">
            <w:rPr>
              <w:rFonts w:cs="Arial"/>
              <w:sz w:val="16"/>
            </w:rPr>
            <w:t xml:space="preserve">: </w:t>
          </w:r>
          <w:r>
            <w:rPr>
              <w:rFonts w:cs="Arial"/>
              <w:sz w:val="16"/>
            </w:rPr>
            <w:t>August</w:t>
          </w:r>
          <w:r w:rsidRPr="008F277F">
            <w:rPr>
              <w:rFonts w:cs="Arial"/>
              <w:sz w:val="16"/>
            </w:rPr>
            <w:t xml:space="preserve"> </w:t>
          </w:r>
          <w:r>
            <w:rPr>
              <w:rFonts w:cs="Arial"/>
              <w:sz w:val="16"/>
            </w:rPr>
            <w:t>31</w:t>
          </w:r>
          <w:r>
            <w:rPr>
              <w:rFonts w:cs="Arial"/>
              <w:sz w:val="16"/>
            </w:rPr>
            <w:t>th</w:t>
          </w:r>
          <w:r w:rsidRPr="008F277F">
            <w:rPr>
              <w:rFonts w:cs="Arial"/>
              <w:sz w:val="16"/>
            </w:rPr>
            <w:t>, 201</w:t>
          </w:r>
          <w:r>
            <w:rPr>
              <w:rFonts w:cs="Arial"/>
              <w:sz w:val="16"/>
            </w:rPr>
            <w:t>5</w:t>
          </w:r>
          <w:r w:rsidRPr="008F277F">
            <w:rPr>
              <w:rFonts w:cs="Arial"/>
              <w:sz w:val="16"/>
            </w:rPr>
            <w:t>.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51F9EC81" w14:textId="3AC7FA14" w:rsidR="002112AA" w:rsidRPr="000F6971" w:rsidRDefault="002112AA" w:rsidP="002112AA">
          <w:pPr>
            <w:pStyle w:val="Sinespaciado"/>
            <w:jc w:val="center"/>
            <w:rPr>
              <w:rFonts w:cs="Arial"/>
              <w:sz w:val="16"/>
            </w:rPr>
          </w:pPr>
          <w:proofErr w:type="spellStart"/>
          <w:r w:rsidRPr="000F6971">
            <w:rPr>
              <w:rFonts w:cs="Arial"/>
              <w:sz w:val="16"/>
            </w:rPr>
            <w:t>C</w:t>
          </w:r>
          <w:r>
            <w:rPr>
              <w:rFonts w:cs="Arial"/>
              <w:sz w:val="16"/>
            </w:rPr>
            <w:t>ode</w:t>
          </w:r>
          <w:proofErr w:type="spellEnd"/>
          <w:r w:rsidRPr="000F6971">
            <w:rPr>
              <w:rFonts w:cs="Arial"/>
              <w:sz w:val="16"/>
            </w:rPr>
            <w:t xml:space="preserve">: </w:t>
          </w:r>
          <w:r>
            <w:rPr>
              <w:rFonts w:cs="Arial"/>
              <w:sz w:val="16"/>
            </w:rPr>
            <w:t>PMF201</w:t>
          </w:r>
          <w:r>
            <w:rPr>
              <w:rFonts w:cs="Arial"/>
              <w:sz w:val="16"/>
            </w:rPr>
            <w:t>5</w:t>
          </w:r>
          <w:r>
            <w:rPr>
              <w:rFonts w:cs="Arial"/>
              <w:sz w:val="16"/>
            </w:rPr>
            <w:t>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14:paraId="7BF2E109" w14:textId="77777777" w:rsidR="002112AA" w:rsidRPr="000F6971" w:rsidRDefault="002112AA" w:rsidP="002112AA">
          <w:pPr>
            <w:pStyle w:val="Sinespaciado"/>
            <w:jc w:val="center"/>
            <w:rPr>
              <w:rFonts w:cs="Arial"/>
              <w:sz w:val="16"/>
            </w:rPr>
          </w:pPr>
          <w:r w:rsidRPr="000F6971">
            <w:rPr>
              <w:rFonts w:cs="Arial"/>
              <w:sz w:val="16"/>
            </w:rPr>
            <w:t>P</w:t>
          </w:r>
          <w:r>
            <w:rPr>
              <w:rFonts w:cs="Arial"/>
              <w:sz w:val="16"/>
            </w:rPr>
            <w:t>age</w:t>
          </w:r>
          <w:r w:rsidRPr="000F6971">
            <w:rPr>
              <w:rFonts w:cs="Arial"/>
              <w:sz w:val="16"/>
            </w:rPr>
            <w:t xml:space="preserve">: </w:t>
          </w:r>
          <w:r w:rsidRPr="000F6971">
            <w:rPr>
              <w:rFonts w:cs="Arial"/>
              <w:sz w:val="16"/>
            </w:rPr>
            <w:fldChar w:fldCharType="begin"/>
          </w:r>
          <w:r w:rsidRPr="000F6971">
            <w:rPr>
              <w:rFonts w:cs="Arial"/>
              <w:sz w:val="16"/>
            </w:rPr>
            <w:instrText>PAGE \* ARABIC</w:instrText>
          </w:r>
          <w:r w:rsidRPr="000F6971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11</w:t>
          </w:r>
          <w:r w:rsidRPr="000F6971">
            <w:rPr>
              <w:rFonts w:cs="Arial"/>
              <w:sz w:val="16"/>
            </w:rPr>
            <w:fldChar w:fldCharType="end"/>
          </w:r>
          <w:r w:rsidRPr="000F6971">
            <w:rPr>
              <w:rFonts w:cs="Arial"/>
              <w:sz w:val="16"/>
            </w:rPr>
            <w:t xml:space="preserve"> </w:t>
          </w:r>
          <w:proofErr w:type="spellStart"/>
          <w:r>
            <w:rPr>
              <w:rFonts w:cs="Arial"/>
              <w:sz w:val="16"/>
            </w:rPr>
            <w:t>of</w:t>
          </w:r>
          <w:proofErr w:type="spellEnd"/>
          <w:r w:rsidRPr="000F6971">
            <w:rPr>
              <w:rFonts w:cs="Arial"/>
              <w:sz w:val="16"/>
            </w:rPr>
            <w:t xml:space="preserve"> </w:t>
          </w:r>
          <w:r w:rsidRPr="000F6971">
            <w:rPr>
              <w:rFonts w:cs="Arial"/>
              <w:sz w:val="16"/>
            </w:rPr>
            <w:fldChar w:fldCharType="begin"/>
          </w:r>
          <w:r w:rsidRPr="000F6971">
            <w:rPr>
              <w:rFonts w:cs="Arial"/>
              <w:sz w:val="16"/>
            </w:rPr>
            <w:instrText>NUMPAGES \* ARABIC</w:instrText>
          </w:r>
          <w:r w:rsidRPr="000F6971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11</w:t>
          </w:r>
          <w:r w:rsidRPr="000F6971">
            <w:rPr>
              <w:rFonts w:cs="Arial"/>
              <w:sz w:val="16"/>
            </w:rP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14:paraId="2FB00C22" w14:textId="77777777" w:rsidR="002112AA" w:rsidRPr="000F6971" w:rsidRDefault="002112AA" w:rsidP="002112AA">
          <w:pPr>
            <w:pStyle w:val="Sinespaciado"/>
            <w:jc w:val="center"/>
            <w:rPr>
              <w:rFonts w:cs="Arial"/>
              <w:sz w:val="16"/>
            </w:rPr>
          </w:pPr>
          <w:proofErr w:type="spellStart"/>
          <w:r w:rsidRPr="000F6971">
            <w:rPr>
              <w:rFonts w:cs="Arial"/>
              <w:sz w:val="16"/>
            </w:rPr>
            <w:t>Versi</w:t>
          </w:r>
          <w:r>
            <w:rPr>
              <w:rFonts w:cs="Arial"/>
              <w:sz w:val="16"/>
            </w:rPr>
            <w:t>o</w:t>
          </w:r>
          <w:r w:rsidRPr="000F6971">
            <w:rPr>
              <w:rFonts w:cs="Arial"/>
              <w:sz w:val="16"/>
            </w:rPr>
            <w:t>n</w:t>
          </w:r>
          <w:proofErr w:type="spellEnd"/>
          <w:r w:rsidRPr="000F6971">
            <w:rPr>
              <w:rFonts w:cs="Arial"/>
              <w:sz w:val="16"/>
            </w:rPr>
            <w:t>: 1.0</w:t>
          </w:r>
        </w:p>
      </w:tc>
    </w:tr>
  </w:tbl>
  <w:p w14:paraId="609863D1" w14:textId="77777777" w:rsidR="00C03FF0" w:rsidRDefault="00C03FF0" w:rsidP="007B06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1EF1" w14:textId="77777777" w:rsidR="003431D1" w:rsidRDefault="00000000">
    <w:pPr>
      <w:pStyle w:val="Encabezado"/>
      <w:jc w:val="center"/>
    </w:pPr>
    <w:sdt>
      <w:sdtPr>
        <w:id w:val="117583340"/>
        <w:docPartObj>
          <w:docPartGallery w:val="Watermarks"/>
          <w:docPartUnique/>
        </w:docPartObj>
      </w:sdtPr>
      <w:sdtContent>
        <w:r>
          <w:pict w14:anchorId="167335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7445C3">
      <w:rPr>
        <w:noProof/>
      </w:rPr>
      <w:drawing>
        <wp:inline distT="0" distB="0" distL="0" distR="0" wp14:anchorId="5CCFB15E" wp14:editId="26D4556A">
          <wp:extent cx="2834640" cy="1090295"/>
          <wp:effectExtent l="0" t="0" r="0" b="0"/>
          <wp:docPr id="6" name="Image1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abezote_logo_uniand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861"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59D"/>
    <w:multiLevelType w:val="multilevel"/>
    <w:tmpl w:val="805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vertAlign w:val="baseline"/>
      </w:rPr>
    </w:lvl>
    <w:lvl w:ilvl="2">
      <w:start w:val="1"/>
      <w:numFmt w:val="upperLetter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E3C1CE5"/>
    <w:multiLevelType w:val="multilevel"/>
    <w:tmpl w:val="805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vertAlign w:val="baseline"/>
      </w:rPr>
    </w:lvl>
    <w:lvl w:ilvl="2">
      <w:start w:val="1"/>
      <w:numFmt w:val="upperLetter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" w15:restartNumberingAfterBreak="0">
    <w:nsid w:val="24824C3C"/>
    <w:multiLevelType w:val="multilevel"/>
    <w:tmpl w:val="D9788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08E"/>
    <w:multiLevelType w:val="multilevel"/>
    <w:tmpl w:val="0E646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F65E4"/>
    <w:multiLevelType w:val="hybridMultilevel"/>
    <w:tmpl w:val="6A001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92199"/>
    <w:multiLevelType w:val="multilevel"/>
    <w:tmpl w:val="5D282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76C5E"/>
    <w:multiLevelType w:val="multilevel"/>
    <w:tmpl w:val="6700EF9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EC4810"/>
    <w:multiLevelType w:val="multilevel"/>
    <w:tmpl w:val="9BF6A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948F5"/>
    <w:multiLevelType w:val="hybridMultilevel"/>
    <w:tmpl w:val="705295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C52F2"/>
    <w:multiLevelType w:val="hybridMultilevel"/>
    <w:tmpl w:val="A98E5C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1019">
    <w:abstractNumId w:val="3"/>
  </w:num>
  <w:num w:numId="2" w16cid:durableId="1902322621">
    <w:abstractNumId w:val="7"/>
  </w:num>
  <w:num w:numId="3" w16cid:durableId="984352035">
    <w:abstractNumId w:val="2"/>
  </w:num>
  <w:num w:numId="4" w16cid:durableId="1421759361">
    <w:abstractNumId w:val="6"/>
  </w:num>
  <w:num w:numId="5" w16cid:durableId="1137722975">
    <w:abstractNumId w:val="5"/>
  </w:num>
  <w:num w:numId="6" w16cid:durableId="1702776021">
    <w:abstractNumId w:val="4"/>
  </w:num>
  <w:num w:numId="7" w16cid:durableId="326329467">
    <w:abstractNumId w:val="9"/>
  </w:num>
  <w:num w:numId="8" w16cid:durableId="61607768">
    <w:abstractNumId w:val="0"/>
  </w:num>
  <w:num w:numId="9" w16cid:durableId="1045835460">
    <w:abstractNumId w:val="8"/>
  </w:num>
  <w:num w:numId="10" w16cid:durableId="182374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D1"/>
    <w:rsid w:val="001007C0"/>
    <w:rsid w:val="00103FD6"/>
    <w:rsid w:val="00142CF5"/>
    <w:rsid w:val="0019656D"/>
    <w:rsid w:val="001F0C53"/>
    <w:rsid w:val="002065AF"/>
    <w:rsid w:val="002112AA"/>
    <w:rsid w:val="003431D1"/>
    <w:rsid w:val="00440136"/>
    <w:rsid w:val="004E42AE"/>
    <w:rsid w:val="00670DA5"/>
    <w:rsid w:val="00676168"/>
    <w:rsid w:val="006A5EBE"/>
    <w:rsid w:val="006E2B11"/>
    <w:rsid w:val="007445C3"/>
    <w:rsid w:val="007B0626"/>
    <w:rsid w:val="00817C78"/>
    <w:rsid w:val="009A62E5"/>
    <w:rsid w:val="009B362D"/>
    <w:rsid w:val="00B02361"/>
    <w:rsid w:val="00B221BC"/>
    <w:rsid w:val="00C03FF0"/>
    <w:rsid w:val="00D13102"/>
    <w:rsid w:val="00ED7EDB"/>
    <w:rsid w:val="00F251CF"/>
    <w:rsid w:val="00F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D10DF"/>
  <w15:docId w15:val="{A6521222-1F62-4457-A064-AB23BF8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26"/>
    <w:pPr>
      <w:suppressAutoHyphens/>
      <w:spacing w:line="360" w:lineRule="auto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B0626"/>
    <w:pPr>
      <w:keepNext/>
      <w:keepLines/>
      <w:spacing w:before="240" w:after="120" w:line="276" w:lineRule="auto"/>
      <w:outlineLvl w:val="0"/>
    </w:pPr>
    <w:rPr>
      <w:rFonts w:eastAsiaTheme="majorEastAsia"/>
      <w:b/>
      <w:bCs/>
      <w:color w:val="00000A"/>
      <w:sz w:val="24"/>
      <w:szCs w:val="2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7B0626"/>
    <w:pPr>
      <w:spacing w:before="240" w:after="240" w:line="240" w:lineRule="auto"/>
      <w:jc w:val="left"/>
      <w:outlineLvl w:val="1"/>
    </w:pPr>
    <w:rPr>
      <w:rFonts w:eastAsia="Times New Roman" w:cs="Times New Roman"/>
      <w:b/>
      <w:bCs/>
      <w:color w:val="00000A"/>
      <w:szCs w:val="36"/>
    </w:r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qFormat/>
    <w:rsid w:val="0028650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Fuentedeprrafopredeter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1F4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B0626"/>
    <w:rPr>
      <w:rFonts w:ascii="Arial" w:eastAsiaTheme="majorEastAsia" w:hAnsi="Arial" w:cs="Arial"/>
      <w:b/>
      <w:bCs/>
      <w:color w:val="00000A"/>
      <w:sz w:val="24"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B0626"/>
    <w:rPr>
      <w:rFonts w:ascii="Arial" w:eastAsia="Times New Roman" w:hAnsi="Arial" w:cs="Times New Roman"/>
      <w:b/>
      <w:bCs/>
      <w:color w:val="00000A"/>
      <w:szCs w:val="36"/>
      <w:lang w:eastAsia="es-CO"/>
    </w:rPr>
  </w:style>
  <w:style w:type="character" w:customStyle="1" w:styleId="smalltext">
    <w:name w:val="smalltext"/>
    <w:basedOn w:val="Fuentedeprrafopredeter"/>
    <w:qFormat/>
    <w:rsid w:val="004579A1"/>
  </w:style>
  <w:style w:type="character" w:styleId="nfasisintenso">
    <w:name w:val="Intense Emphasis"/>
    <w:basedOn w:val="Fuentedeprrafopredeter"/>
    <w:uiPriority w:val="21"/>
    <w:qFormat/>
    <w:rsid w:val="007B0626"/>
    <w:rPr>
      <w:rFonts w:ascii="Arial" w:hAnsi="Arial"/>
      <w:i/>
      <w:iCs/>
      <w:color w:val="auto"/>
      <w:sz w:val="18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837B9"/>
    <w:pPr>
      <w:spacing w:line="240" w:lineRule="auto"/>
    </w:pPr>
    <w:rPr>
      <w:rFonts w:ascii="Verdana" w:eastAsia="Times New Roman" w:hAnsi="Verdana" w:cs="Times New Roman"/>
      <w:color w:val="00000A"/>
      <w:sz w:val="20"/>
      <w:szCs w:val="20"/>
      <w:lang w:val="es-MX" w:eastAsia="es-ES"/>
    </w:r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650D"/>
    <w:pPr>
      <w:spacing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qFormat/>
    <w:rsid w:val="00C845BD"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DB2ACA"/>
    <w:pPr>
      <w:suppressAutoHyphens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64975"/>
    <w:rPr>
      <w:b/>
      <w:bCs/>
    </w:rPr>
  </w:style>
  <w:style w:type="paragraph" w:styleId="Sinespaciado">
    <w:name w:val="No Spacing"/>
    <w:link w:val="SinespaciadoCar"/>
    <w:uiPriority w:val="1"/>
    <w:qFormat/>
    <w:rsid w:val="00AD1F45"/>
    <w:pPr>
      <w:suppressAutoHyphens/>
      <w:spacing w:line="240" w:lineRule="auto"/>
    </w:pPr>
    <w:rPr>
      <w:rFonts w:ascii="Calibri" w:eastAsiaTheme="minorEastAsia" w:hAnsi="Calibri"/>
      <w:lang w:val="es-ES"/>
    </w:rPr>
  </w:style>
  <w:style w:type="paragraph" w:styleId="Revisin">
    <w:name w:val="Revision"/>
    <w:uiPriority w:val="99"/>
    <w:semiHidden/>
    <w:qFormat/>
    <w:rsid w:val="00B012D7"/>
    <w:pPr>
      <w:suppressAutoHyphens/>
      <w:spacing w:line="240" w:lineRule="auto"/>
    </w:pPr>
    <w:rPr>
      <w:rFonts w:ascii="Arial" w:eastAsia="Arial" w:hAnsi="Arial" w:cs="Arial"/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qFormat/>
    <w:rsid w:val="000F313A"/>
    <w:pPr>
      <w:spacing w:after="200" w:line="276" w:lineRule="auto"/>
      <w:jc w:val="left"/>
    </w:pPr>
    <w:rPr>
      <w:rFonts w:asciiTheme="minorHAnsi" w:eastAsiaTheme="minorEastAsia" w:hAnsiTheme="minorHAnsi" w:cstheme="minorBidi"/>
      <w:color w:val="00000A"/>
      <w:lang w:val="es-MX"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533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7B06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70544CB0-0BB2-49AE-A1C3-0656BBCD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Andres Cadena</cp:lastModifiedBy>
  <cp:revision>9</cp:revision>
  <cp:lastPrinted>2015-09-09T02:43:00Z</cp:lastPrinted>
  <dcterms:created xsi:type="dcterms:W3CDTF">2016-03-10T14:59:00Z</dcterms:created>
  <dcterms:modified xsi:type="dcterms:W3CDTF">2023-04-28T16:24:00Z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