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AE5" w:rsidRPr="0034126A" w:rsidRDefault="00BD2EB8" w:rsidP="0034126A">
      <w:pPr>
        <w:pStyle w:val="Ttulo11"/>
        <w:spacing w:line="240" w:lineRule="auto"/>
        <w:jc w:val="center"/>
        <w:rPr>
          <w:sz w:val="28"/>
        </w:rPr>
      </w:pPr>
      <w:bookmarkStart w:id="0" w:name="_GoBack"/>
      <w:bookmarkEnd w:id="0"/>
      <w:r w:rsidRPr="0034126A">
        <w:rPr>
          <w:rFonts w:cs="Arial"/>
          <w:color w:val="00000A"/>
          <w:sz w:val="28"/>
          <w:lang w:val="es-CO"/>
        </w:rPr>
        <w:t xml:space="preserve">SÍNTESIS VERDE DE </w:t>
      </w:r>
      <w:r w:rsidR="00487725" w:rsidRPr="0034126A">
        <w:rPr>
          <w:rFonts w:cs="Arial"/>
          <w:color w:val="00000A"/>
          <w:sz w:val="28"/>
          <w:lang w:val="es-CO"/>
        </w:rPr>
        <w:t>NANOPARTÍCULAS DE COBRE</w:t>
      </w:r>
    </w:p>
    <w:p w:rsidR="00A84AE5" w:rsidRDefault="00487725">
      <w:pPr>
        <w:jc w:val="center"/>
        <w:rPr>
          <w:b/>
          <w:i/>
          <w:sz w:val="28"/>
          <w:szCs w:val="28"/>
        </w:rPr>
      </w:pPr>
      <w:r>
        <w:rPr>
          <w:b/>
          <w:i/>
          <w:sz w:val="28"/>
          <w:szCs w:val="28"/>
        </w:rPr>
        <w:t>Versión 1.0</w:t>
      </w:r>
    </w:p>
    <w:p w:rsidR="00A84AE5" w:rsidRDefault="00487725">
      <w:pPr>
        <w:jc w:val="right"/>
        <w:rPr>
          <w:b/>
          <w:sz w:val="26"/>
          <w:szCs w:val="26"/>
        </w:rPr>
      </w:pPr>
      <w:r>
        <w:rPr>
          <w:b/>
          <w:sz w:val="26"/>
          <w:szCs w:val="26"/>
        </w:rPr>
        <w:t>Elaboro: Natalia López Barbosa</w:t>
      </w:r>
    </w:p>
    <w:p w:rsidR="00A84AE5" w:rsidRDefault="00487725" w:rsidP="0034126A">
      <w:pPr>
        <w:pStyle w:val="Ttulo1"/>
        <w:numPr>
          <w:ilvl w:val="0"/>
          <w:numId w:val="12"/>
        </w:numPr>
      </w:pPr>
      <w:r>
        <w:t>OBJETIVO</w:t>
      </w:r>
    </w:p>
    <w:p w:rsidR="00A84AE5" w:rsidRDefault="00487725">
      <w:pPr>
        <w:tabs>
          <w:tab w:val="left" w:pos="720"/>
        </w:tabs>
      </w:pPr>
      <w:r>
        <w:rPr>
          <w:bCs/>
        </w:rPr>
        <w:t>Elaborar nanopartículas de cobre a partir de sulfato de cobre y ácido ascórbico.</w:t>
      </w:r>
    </w:p>
    <w:p w:rsidR="00A84AE5" w:rsidRDefault="00487725" w:rsidP="0034126A">
      <w:pPr>
        <w:pStyle w:val="Ttulo1"/>
        <w:numPr>
          <w:ilvl w:val="0"/>
          <w:numId w:val="12"/>
        </w:numPr>
      </w:pPr>
      <w:r>
        <w:t>REQUISITOS</w:t>
      </w:r>
    </w:p>
    <w:p w:rsidR="00A84AE5" w:rsidRDefault="00487725">
      <w:pPr>
        <w:tabs>
          <w:tab w:val="left" w:pos="0"/>
        </w:tabs>
      </w:pPr>
      <w:r>
        <w:rPr>
          <w:bCs/>
        </w:rPr>
        <w:t>Para seguir este tutorial es necesario tener capacitaciones en: gramaje en balanza de precisión.</w:t>
      </w:r>
    </w:p>
    <w:p w:rsidR="00A84AE5" w:rsidRDefault="00487725" w:rsidP="0034126A">
      <w:pPr>
        <w:pStyle w:val="Ttulo1"/>
        <w:numPr>
          <w:ilvl w:val="0"/>
          <w:numId w:val="12"/>
        </w:numPr>
      </w:pPr>
      <w:r>
        <w:t>REQUISITOS DE SOFTWARE</w:t>
      </w:r>
    </w:p>
    <w:p w:rsidR="00A84AE5" w:rsidRDefault="00487725">
      <w:pPr>
        <w:spacing w:after="200" w:line="276" w:lineRule="auto"/>
      </w:pPr>
      <w:r>
        <w:t>Ninguno.</w:t>
      </w:r>
    </w:p>
    <w:p w:rsidR="00A84AE5" w:rsidRDefault="00487725" w:rsidP="0034126A">
      <w:pPr>
        <w:pStyle w:val="Ttulo1"/>
        <w:numPr>
          <w:ilvl w:val="0"/>
          <w:numId w:val="12"/>
        </w:numPr>
      </w:pPr>
      <w:r>
        <w:t>PASO A PASO</w:t>
      </w:r>
    </w:p>
    <w:p w:rsidR="00A84AE5" w:rsidRPr="00BD2EB8" w:rsidRDefault="00BD2EB8" w:rsidP="0034126A">
      <w:pPr>
        <w:pStyle w:val="Ttulo21"/>
        <w:numPr>
          <w:ilvl w:val="1"/>
          <w:numId w:val="12"/>
        </w:numPr>
        <w:jc w:val="both"/>
        <w:rPr>
          <w:sz w:val="22"/>
          <w:szCs w:val="22"/>
        </w:rPr>
      </w:pPr>
      <w:r w:rsidRPr="00BD2EB8">
        <w:rPr>
          <w:rFonts w:ascii="Arial" w:eastAsia="Arial" w:hAnsi="Arial" w:cs="Arial"/>
          <w:color w:val="000000"/>
          <w:sz w:val="22"/>
          <w:szCs w:val="22"/>
        </w:rPr>
        <w:t>PREPARACIÓN DE SOLUCIONES</w:t>
      </w:r>
    </w:p>
    <w:p w:rsidR="00BD2EB8" w:rsidRDefault="00487725" w:rsidP="00BD2EB8">
      <w:r w:rsidRPr="00BD2EB8">
        <w:t xml:space="preserve">Para la elaboración de las nanopartículas de cobre es necesario preparar dos soluciones base. Para generarlas, necesitará 5g de sulfato de cobre y 7.5g de ácido ascórbico. Asegúrese de tener estos materiales antes de seguir el siguiente procedimiento. Por su seguridad, utilice guantes y no ingiera ninguno de los elementos o soluciones resultantes. </w:t>
      </w:r>
    </w:p>
    <w:p w:rsidR="00BD2EB8" w:rsidRDefault="00BD2EB8" w:rsidP="009F402F">
      <w:pPr>
        <w:pStyle w:val="Prrafodelista"/>
        <w:numPr>
          <w:ilvl w:val="0"/>
          <w:numId w:val="8"/>
        </w:numPr>
      </w:pPr>
      <w:r>
        <w:t>Obtenga dos beakers de vidrio de al menos 200 mL.</w:t>
      </w:r>
    </w:p>
    <w:p w:rsidR="00BD2EB8" w:rsidRDefault="00BD2EB8" w:rsidP="009F402F">
      <w:pPr>
        <w:pStyle w:val="Prrafodelista"/>
        <w:numPr>
          <w:ilvl w:val="0"/>
          <w:numId w:val="8"/>
        </w:numPr>
      </w:pPr>
      <w:r>
        <w:t xml:space="preserve">Deposite 750 mL de agua en cada uno de ellos. Procure que toda el agua se encuentre en el fondo del recipiente y no adherida a las paredes. </w:t>
      </w:r>
    </w:p>
    <w:p w:rsidR="00BD2EB8" w:rsidRDefault="00BD2EB8" w:rsidP="009F402F">
      <w:pPr>
        <w:pStyle w:val="Prrafodelista"/>
        <w:numPr>
          <w:ilvl w:val="0"/>
          <w:numId w:val="8"/>
        </w:numPr>
      </w:pPr>
      <w:r>
        <w:t xml:space="preserve">En un recipiente cerámico, pese 7,5 g de ácido ascóbico. </w:t>
      </w:r>
    </w:p>
    <w:p w:rsidR="00BD2EB8" w:rsidRDefault="00BD2EB8" w:rsidP="009F402F">
      <w:pPr>
        <w:pStyle w:val="Prrafodelista"/>
        <w:numPr>
          <w:ilvl w:val="0"/>
          <w:numId w:val="8"/>
        </w:numPr>
      </w:pPr>
      <w:r>
        <w:t xml:space="preserve">Deposite el ácido ascórbico en uno de los beakers con agua </w:t>
      </w:r>
    </w:p>
    <w:p w:rsidR="00BD2EB8" w:rsidRDefault="00BD2EB8" w:rsidP="009F402F">
      <w:pPr>
        <w:pStyle w:val="Prrafodelista"/>
        <w:numPr>
          <w:ilvl w:val="0"/>
          <w:numId w:val="8"/>
        </w:numPr>
      </w:pPr>
      <w:r>
        <w:t xml:space="preserve">Revuelva hasta obtener una solución homogénea y translucida como la que se muestra en la Figura 1. Marque debidamente el beaker con una etiqueta. </w:t>
      </w:r>
    </w:p>
    <w:p w:rsidR="00A84AE5" w:rsidRPr="00BD2EB8" w:rsidRDefault="00A84AE5">
      <w:pPr>
        <w:pStyle w:val="TextBody"/>
        <w:rPr>
          <w:rFonts w:ascii="Arial" w:eastAsia="Arial" w:hAnsi="Arial" w:cs="Arial"/>
          <w:color w:val="000000"/>
          <w:sz w:val="22"/>
          <w:szCs w:val="22"/>
        </w:rPr>
      </w:pPr>
    </w:p>
    <w:p w:rsidR="00BD2EB8" w:rsidRDefault="00BD2EB8" w:rsidP="00BD2EB8">
      <w:pPr>
        <w:pStyle w:val="TextBody"/>
        <w:keepNext/>
        <w:jc w:val="center"/>
      </w:pPr>
      <w:r w:rsidRPr="00BD2EB8">
        <w:rPr>
          <w:rFonts w:eastAsia="Arial"/>
          <w:noProof/>
        </w:rPr>
        <w:lastRenderedPageBreak/>
        <w:drawing>
          <wp:inline distT="0" distB="0" distL="0" distR="0">
            <wp:extent cx="2143125" cy="2771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771775"/>
                    </a:xfrm>
                    <a:prstGeom prst="rect">
                      <a:avLst/>
                    </a:prstGeom>
                    <a:noFill/>
                    <a:ln>
                      <a:noFill/>
                    </a:ln>
                  </pic:spPr>
                </pic:pic>
              </a:graphicData>
            </a:graphic>
          </wp:inline>
        </w:drawing>
      </w:r>
    </w:p>
    <w:p w:rsidR="00A84AE5" w:rsidRPr="00BD2EB8" w:rsidRDefault="00BD2EB8" w:rsidP="00BD2EB8">
      <w:pPr>
        <w:pStyle w:val="Descripcin"/>
        <w:jc w:val="center"/>
        <w:rPr>
          <w:sz w:val="22"/>
          <w:szCs w:val="22"/>
        </w:rPr>
      </w:pPr>
      <w:r>
        <w:t xml:space="preserve">Figura </w:t>
      </w:r>
      <w:r w:rsidR="0025687F">
        <w:rPr>
          <w:noProof/>
        </w:rPr>
        <w:fldChar w:fldCharType="begin"/>
      </w:r>
      <w:r w:rsidR="0025687F">
        <w:rPr>
          <w:noProof/>
        </w:rPr>
        <w:instrText xml:space="preserve"> SEQ Figura \* ARABIC </w:instrText>
      </w:r>
      <w:r w:rsidR="0025687F">
        <w:rPr>
          <w:noProof/>
        </w:rPr>
        <w:fldChar w:fldCharType="separate"/>
      </w:r>
      <w:r w:rsidR="009F402F">
        <w:rPr>
          <w:noProof/>
        </w:rPr>
        <w:t>1</w:t>
      </w:r>
      <w:r w:rsidR="0025687F">
        <w:rPr>
          <w:noProof/>
        </w:rPr>
        <w:fldChar w:fldCharType="end"/>
      </w:r>
      <w:r>
        <w:t xml:space="preserve">: </w:t>
      </w:r>
      <w:r w:rsidRPr="006700F9">
        <w:t>Solución de ácido ascórbico en agua</w:t>
      </w:r>
    </w:p>
    <w:p w:rsidR="00A84AE5" w:rsidRPr="00BD2EB8" w:rsidRDefault="00487725" w:rsidP="009F402F">
      <w:pPr>
        <w:pStyle w:val="Prrafodelista"/>
        <w:numPr>
          <w:ilvl w:val="0"/>
          <w:numId w:val="9"/>
        </w:numPr>
      </w:pPr>
      <w:r w:rsidRPr="00BD2EB8">
        <w:t xml:space="preserve">En un recipiente cerámico, pese 5g de sulfato de cobre. </w:t>
      </w:r>
    </w:p>
    <w:p w:rsidR="00A84AE5" w:rsidRPr="00BD2EB8" w:rsidRDefault="00487725" w:rsidP="009F402F">
      <w:pPr>
        <w:pStyle w:val="Prrafodelista"/>
        <w:numPr>
          <w:ilvl w:val="0"/>
          <w:numId w:val="9"/>
        </w:numPr>
      </w:pPr>
      <w:r w:rsidRPr="00BD2EB8">
        <w:t>Deposite el sulfato de cobre en el beaker con agua restante. Marque debidamente el beaker con una etiqueta.</w:t>
      </w:r>
    </w:p>
    <w:p w:rsidR="009F402F" w:rsidRPr="009F402F" w:rsidRDefault="00487725" w:rsidP="009F402F">
      <w:pPr>
        <w:pStyle w:val="Prrafodelista"/>
        <w:numPr>
          <w:ilvl w:val="0"/>
          <w:numId w:val="9"/>
        </w:numPr>
      </w:pPr>
      <w:r w:rsidRPr="00BD2EB8">
        <w:t>Revuelva hasta obtener una solución homogénea y de color azul como se muestra en la Figura 2. Tenga en cuenta que el recipiente en el que realice esta solución será el recipiente en el que obtenga y almacene las nanopartículas de cobre para</w:t>
      </w:r>
      <w:r w:rsidRPr="00BD2EB8">
        <w:rPr>
          <w:i/>
          <w:iCs/>
        </w:rPr>
        <w:t xml:space="preserve"> evitar pérdidas de las mismas al trasladarlas de recipiente.</w:t>
      </w:r>
    </w:p>
    <w:p w:rsidR="009F402F" w:rsidRDefault="009F402F" w:rsidP="009F402F">
      <w:pPr>
        <w:keepNext/>
        <w:jc w:val="center"/>
      </w:pPr>
      <w:r w:rsidRPr="009F402F">
        <w:rPr>
          <w:noProof/>
        </w:rPr>
        <w:lastRenderedPageBreak/>
        <w:drawing>
          <wp:inline distT="0" distB="0" distL="0" distR="0">
            <wp:extent cx="2324100" cy="2171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A84AE5" w:rsidRPr="009F402F" w:rsidRDefault="009F402F" w:rsidP="009F402F">
      <w:pPr>
        <w:pStyle w:val="Descripcin"/>
        <w:jc w:val="center"/>
      </w:pPr>
      <w:r>
        <w:t xml:space="preserve">Figura </w:t>
      </w:r>
      <w:r w:rsidR="0025687F">
        <w:rPr>
          <w:noProof/>
        </w:rPr>
        <w:fldChar w:fldCharType="begin"/>
      </w:r>
      <w:r w:rsidR="0025687F">
        <w:rPr>
          <w:noProof/>
        </w:rPr>
        <w:instrText xml:space="preserve"> SEQ Figura \* ARABIC </w:instrText>
      </w:r>
      <w:r w:rsidR="0025687F">
        <w:rPr>
          <w:noProof/>
        </w:rPr>
        <w:fldChar w:fldCharType="separate"/>
      </w:r>
      <w:r>
        <w:rPr>
          <w:noProof/>
        </w:rPr>
        <w:t>2</w:t>
      </w:r>
      <w:r w:rsidR="0025687F">
        <w:rPr>
          <w:noProof/>
        </w:rPr>
        <w:fldChar w:fldCharType="end"/>
      </w:r>
      <w:r>
        <w:t xml:space="preserve">: </w:t>
      </w:r>
      <w:r w:rsidRPr="009F402F">
        <w:t>Solución de sulfato de cobre en agua.</w:t>
      </w:r>
    </w:p>
    <w:p w:rsidR="00A84AE5" w:rsidRPr="009F402F" w:rsidRDefault="009F402F" w:rsidP="0034126A">
      <w:pPr>
        <w:pStyle w:val="Ttulo2"/>
        <w:numPr>
          <w:ilvl w:val="1"/>
          <w:numId w:val="12"/>
        </w:numPr>
        <w:rPr>
          <w:rFonts w:eastAsia="Arial"/>
          <w:b w:val="0"/>
        </w:rPr>
      </w:pPr>
      <w:r w:rsidRPr="009F402F">
        <w:rPr>
          <w:rFonts w:eastAsia="Arial"/>
        </w:rPr>
        <w:t>ELABORACIÓN DE NANOPARTÍCULAS DE COBRE</w:t>
      </w:r>
    </w:p>
    <w:p w:rsidR="00A84AE5" w:rsidRPr="00BD2EB8" w:rsidRDefault="00487725" w:rsidP="0034126A">
      <w:pPr>
        <w:pStyle w:val="Prrafodelista"/>
        <w:numPr>
          <w:ilvl w:val="0"/>
          <w:numId w:val="15"/>
        </w:numPr>
      </w:pPr>
      <w:r w:rsidRPr="00BD2EB8">
        <w:t>Revuelva la solución de sulfato de cobre vigorosamente mientras agrega lentamente la solución de ácido ascórbico. Observará que la solución cambia de color azul a verde. Esto se debe por el desplazamiento de los iones de cobre causado por los iones de hierro. La solución debe verse como la mostrada en la Figura 3.</w:t>
      </w:r>
    </w:p>
    <w:p w:rsidR="009F402F" w:rsidRDefault="009F402F" w:rsidP="009F402F">
      <w:pPr>
        <w:pStyle w:val="TextBody"/>
        <w:keepNext/>
        <w:jc w:val="center"/>
      </w:pPr>
      <w:r w:rsidRPr="009F402F">
        <w:rPr>
          <w:rFonts w:eastAsia="Arial"/>
          <w:noProof/>
        </w:rPr>
        <w:lastRenderedPageBreak/>
        <w:drawing>
          <wp:inline distT="0" distB="0" distL="0" distR="0">
            <wp:extent cx="2047875" cy="2228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2228850"/>
                    </a:xfrm>
                    <a:prstGeom prst="rect">
                      <a:avLst/>
                    </a:prstGeom>
                    <a:noFill/>
                    <a:ln>
                      <a:noFill/>
                    </a:ln>
                  </pic:spPr>
                </pic:pic>
              </a:graphicData>
            </a:graphic>
          </wp:inline>
        </w:drawing>
      </w:r>
    </w:p>
    <w:p w:rsidR="00A84AE5" w:rsidRPr="009F402F" w:rsidRDefault="009F402F" w:rsidP="009F402F">
      <w:pPr>
        <w:pStyle w:val="Descripcin"/>
        <w:jc w:val="center"/>
        <w:rPr>
          <w:i w:val="0"/>
          <w:iCs w:val="0"/>
          <w:color w:val="000000"/>
          <w:sz w:val="22"/>
          <w:szCs w:val="22"/>
        </w:rPr>
      </w:pPr>
      <w:r>
        <w:t xml:space="preserve">Figura </w:t>
      </w:r>
      <w:r w:rsidR="0025687F">
        <w:rPr>
          <w:noProof/>
        </w:rPr>
        <w:fldChar w:fldCharType="begin"/>
      </w:r>
      <w:r w:rsidR="0025687F">
        <w:rPr>
          <w:noProof/>
        </w:rPr>
        <w:instrText xml:space="preserve"> SEQ Figura \* ARABIC </w:instrText>
      </w:r>
      <w:r w:rsidR="0025687F">
        <w:rPr>
          <w:noProof/>
        </w:rPr>
        <w:fldChar w:fldCharType="separate"/>
      </w:r>
      <w:r>
        <w:rPr>
          <w:noProof/>
        </w:rPr>
        <w:t>3</w:t>
      </w:r>
      <w:r w:rsidR="0025687F">
        <w:rPr>
          <w:noProof/>
        </w:rPr>
        <w:fldChar w:fldCharType="end"/>
      </w:r>
      <w:r>
        <w:t xml:space="preserve">: </w:t>
      </w:r>
      <w:r w:rsidRPr="00B13C1B">
        <w:t>Solución resultante al mezclar el ácido ascórbico con el sulfato de cobre.</w:t>
      </w:r>
      <w:r w:rsidR="00487725" w:rsidRPr="009F402F">
        <w:t>Revuelva vigorosamente por aproximadamente 1 minuto.</w:t>
      </w:r>
    </w:p>
    <w:p w:rsidR="009F402F" w:rsidRDefault="00487725" w:rsidP="0034126A">
      <w:pPr>
        <w:pStyle w:val="Prrafodelista"/>
        <w:numPr>
          <w:ilvl w:val="0"/>
          <w:numId w:val="15"/>
        </w:numPr>
      </w:pPr>
      <w:r w:rsidRPr="009F402F">
        <w:t>Tape el recipiente para evitar contaminaciones.</w:t>
      </w:r>
    </w:p>
    <w:p w:rsidR="00A84AE5" w:rsidRPr="00BD2EB8" w:rsidRDefault="00487725" w:rsidP="0034126A">
      <w:pPr>
        <w:pStyle w:val="Prrafodelista"/>
        <w:numPr>
          <w:ilvl w:val="0"/>
          <w:numId w:val="15"/>
        </w:numPr>
      </w:pPr>
      <w:r w:rsidRPr="00BD2EB8">
        <w:t>Deje la solución en reposo por al menos una hora. Notará como aparece una capa de color rosado en la parte inferior del recipiente como se muestra en la Figura 4.</w:t>
      </w:r>
    </w:p>
    <w:p w:rsidR="009F402F" w:rsidRDefault="009F402F" w:rsidP="009F402F">
      <w:pPr>
        <w:pStyle w:val="TextBody"/>
        <w:keepNext/>
        <w:jc w:val="center"/>
      </w:pPr>
      <w:r w:rsidRPr="009F402F">
        <w:rPr>
          <w:rFonts w:eastAsia="Arial"/>
          <w:noProof/>
        </w:rPr>
        <w:drawing>
          <wp:inline distT="0" distB="0" distL="0" distR="0">
            <wp:extent cx="2105025" cy="2105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A84AE5" w:rsidRPr="00BD2EB8" w:rsidRDefault="009F402F" w:rsidP="009F402F">
      <w:pPr>
        <w:pStyle w:val="Descripcin"/>
        <w:jc w:val="center"/>
        <w:rPr>
          <w:i w:val="0"/>
          <w:iCs w:val="0"/>
          <w:color w:val="000000"/>
          <w:sz w:val="22"/>
          <w:szCs w:val="22"/>
        </w:rPr>
      </w:pPr>
      <w:r>
        <w:t xml:space="preserve">Figura </w:t>
      </w:r>
      <w:r w:rsidR="0025687F">
        <w:rPr>
          <w:noProof/>
        </w:rPr>
        <w:fldChar w:fldCharType="begin"/>
      </w:r>
      <w:r w:rsidR="0025687F">
        <w:rPr>
          <w:noProof/>
        </w:rPr>
        <w:instrText xml:space="preserve"> SEQ Figura \* ARABIC </w:instrText>
      </w:r>
      <w:r w:rsidR="0025687F">
        <w:rPr>
          <w:noProof/>
        </w:rPr>
        <w:fldChar w:fldCharType="separate"/>
      </w:r>
      <w:r>
        <w:rPr>
          <w:noProof/>
        </w:rPr>
        <w:t>4</w:t>
      </w:r>
      <w:r w:rsidR="0025687F">
        <w:rPr>
          <w:noProof/>
        </w:rPr>
        <w:fldChar w:fldCharType="end"/>
      </w:r>
      <w:r>
        <w:t xml:space="preserve">: </w:t>
      </w:r>
      <w:r w:rsidRPr="007C74EF">
        <w:t>Separación de las nanopartículas de cobre (capa inferior rosada) de la solución de ácido ascórbico (verde).</w:t>
      </w:r>
    </w:p>
    <w:p w:rsidR="00A84AE5" w:rsidRPr="00BD2EB8" w:rsidRDefault="00A84AE5">
      <w:pPr>
        <w:pStyle w:val="TextBody"/>
        <w:jc w:val="center"/>
        <w:rPr>
          <w:rFonts w:ascii="Arial" w:eastAsia="Arial" w:hAnsi="Arial" w:cs="Arial"/>
          <w:i/>
          <w:iCs/>
          <w:sz w:val="22"/>
          <w:szCs w:val="22"/>
        </w:rPr>
      </w:pPr>
    </w:p>
    <w:p w:rsidR="00A84AE5" w:rsidRPr="009F402F" w:rsidRDefault="00487725" w:rsidP="0034126A">
      <w:pPr>
        <w:pStyle w:val="Prrafodelista"/>
        <w:numPr>
          <w:ilvl w:val="0"/>
          <w:numId w:val="15"/>
        </w:numPr>
        <w:rPr>
          <w:rStyle w:val="Ttulodellibro"/>
          <w:b w:val="0"/>
          <w:bCs w:val="0"/>
          <w:i w:val="0"/>
          <w:iCs w:val="0"/>
          <w:spacing w:val="0"/>
        </w:rPr>
      </w:pPr>
      <w:r w:rsidRPr="009F402F">
        <w:rPr>
          <w:rStyle w:val="Ttulodellibro"/>
          <w:b w:val="0"/>
          <w:bCs w:val="0"/>
          <w:i w:val="0"/>
          <w:iCs w:val="0"/>
          <w:spacing w:val="0"/>
        </w:rPr>
        <w:lastRenderedPageBreak/>
        <w:t xml:space="preserve">La capa inferior contiene las nanopartículas de cobre. </w:t>
      </w:r>
    </w:p>
    <w:p w:rsidR="0034126A" w:rsidRDefault="00810E82" w:rsidP="0034126A">
      <w:pPr>
        <w:pStyle w:val="Prrafodelista"/>
        <w:numPr>
          <w:ilvl w:val="0"/>
          <w:numId w:val="15"/>
        </w:numPr>
        <w:rPr>
          <w:rStyle w:val="Ttulodellibro"/>
          <w:b w:val="0"/>
          <w:bCs w:val="0"/>
          <w:i w:val="0"/>
          <w:iCs w:val="0"/>
          <w:spacing w:val="0"/>
        </w:rPr>
      </w:pPr>
      <w:r w:rsidRPr="009F402F">
        <w:rPr>
          <w:rStyle w:val="Ttulodellibro"/>
          <w:b w:val="0"/>
          <w:bCs w:val="0"/>
          <w:i w:val="0"/>
          <w:iCs w:val="0"/>
          <w:spacing w:val="0"/>
        </w:rPr>
        <w:t>Retire la solución verde resultado del</w:t>
      </w:r>
      <w:r w:rsidR="00487725" w:rsidRPr="009F402F">
        <w:rPr>
          <w:rStyle w:val="Ttulodellibro"/>
          <w:b w:val="0"/>
          <w:bCs w:val="0"/>
          <w:i w:val="0"/>
          <w:iCs w:val="0"/>
          <w:spacing w:val="0"/>
        </w:rPr>
        <w:t xml:space="preserve"> ácido ascórbico para acceder a las partículas. Tenga en cuenta que las nanopartículas de cobre empezarán a oxidarse inmediatamente después de retirar la solución de ácido ascórbico que las cubre.</w:t>
      </w:r>
    </w:p>
    <w:p w:rsidR="0034126A" w:rsidRDefault="0034126A" w:rsidP="0034126A">
      <w:pPr>
        <w:pStyle w:val="Ttulo1"/>
        <w:numPr>
          <w:ilvl w:val="0"/>
          <w:numId w:val="12"/>
        </w:numPr>
      </w:pPr>
      <w:r>
        <w:t xml:space="preserve"> CONTROL DE CAMBIOS</w:t>
      </w:r>
    </w:p>
    <w:tbl>
      <w:tblPr>
        <w:tblStyle w:val="Tablaconcuadrcula"/>
        <w:tblW w:w="9813" w:type="dxa"/>
        <w:jc w:val="center"/>
        <w:tblLook w:val="04A0" w:firstRow="1" w:lastRow="0" w:firstColumn="1" w:lastColumn="0" w:noHBand="0" w:noVBand="1"/>
      </w:tblPr>
      <w:tblGrid>
        <w:gridCol w:w="4537"/>
        <w:gridCol w:w="1363"/>
        <w:gridCol w:w="1208"/>
        <w:gridCol w:w="2705"/>
      </w:tblGrid>
      <w:tr w:rsidR="00A84AE5" w:rsidRPr="00BD2EB8" w:rsidTr="0034126A">
        <w:trPr>
          <w:trHeight w:val="315"/>
          <w:jc w:val="center"/>
        </w:trPr>
        <w:tc>
          <w:tcPr>
            <w:tcW w:w="4537" w:type="dxa"/>
            <w:shd w:val="clear" w:color="auto" w:fill="BFBFBF" w:themeFill="background1" w:themeFillShade="BF"/>
            <w:tcMar>
              <w:left w:w="108" w:type="dxa"/>
            </w:tcMar>
            <w:vAlign w:val="center"/>
          </w:tcPr>
          <w:p w:rsidR="00A84AE5" w:rsidRPr="00BD2EB8" w:rsidRDefault="00487725">
            <w:pPr>
              <w:spacing w:line="240" w:lineRule="auto"/>
              <w:jc w:val="center"/>
              <w:rPr>
                <w:b/>
              </w:rPr>
            </w:pPr>
            <w:r w:rsidRPr="00BD2EB8">
              <w:rPr>
                <w:b/>
              </w:rPr>
              <w:t>DESCRIPCIÓN DEL CAMBIO</w:t>
            </w:r>
          </w:p>
        </w:tc>
        <w:tc>
          <w:tcPr>
            <w:tcW w:w="1363" w:type="dxa"/>
            <w:shd w:val="clear" w:color="auto" w:fill="BFBFBF" w:themeFill="background1" w:themeFillShade="BF"/>
            <w:tcMar>
              <w:left w:w="108" w:type="dxa"/>
            </w:tcMar>
            <w:vAlign w:val="center"/>
          </w:tcPr>
          <w:p w:rsidR="00A84AE5" w:rsidRPr="00BD2EB8" w:rsidRDefault="00487725">
            <w:pPr>
              <w:spacing w:line="240" w:lineRule="auto"/>
              <w:ind w:left="218" w:hanging="218"/>
              <w:jc w:val="center"/>
              <w:rPr>
                <w:b/>
              </w:rPr>
            </w:pPr>
            <w:r w:rsidRPr="00BD2EB8">
              <w:rPr>
                <w:b/>
              </w:rPr>
              <w:t>FECHA</w:t>
            </w:r>
          </w:p>
        </w:tc>
        <w:tc>
          <w:tcPr>
            <w:tcW w:w="1208" w:type="dxa"/>
            <w:shd w:val="clear" w:color="auto" w:fill="BFBFBF" w:themeFill="background1" w:themeFillShade="BF"/>
            <w:tcMar>
              <w:left w:w="108" w:type="dxa"/>
            </w:tcMar>
            <w:vAlign w:val="center"/>
          </w:tcPr>
          <w:p w:rsidR="00A84AE5" w:rsidRPr="00BD2EB8" w:rsidRDefault="00487725">
            <w:pPr>
              <w:spacing w:line="240" w:lineRule="auto"/>
              <w:jc w:val="center"/>
              <w:rPr>
                <w:b/>
              </w:rPr>
            </w:pPr>
            <w:r w:rsidRPr="00BD2EB8">
              <w:rPr>
                <w:b/>
              </w:rPr>
              <w:t>VERSIÓN</w:t>
            </w:r>
          </w:p>
        </w:tc>
        <w:tc>
          <w:tcPr>
            <w:tcW w:w="2705" w:type="dxa"/>
            <w:shd w:val="clear" w:color="auto" w:fill="BFBFBF" w:themeFill="background1" w:themeFillShade="BF"/>
            <w:tcMar>
              <w:left w:w="108" w:type="dxa"/>
            </w:tcMar>
            <w:vAlign w:val="center"/>
          </w:tcPr>
          <w:p w:rsidR="00A84AE5" w:rsidRPr="00BD2EB8" w:rsidRDefault="00487725">
            <w:pPr>
              <w:spacing w:line="240" w:lineRule="auto"/>
              <w:jc w:val="center"/>
              <w:rPr>
                <w:b/>
              </w:rPr>
            </w:pPr>
            <w:r w:rsidRPr="00BD2EB8">
              <w:rPr>
                <w:b/>
              </w:rPr>
              <w:t>APROBADO POR</w:t>
            </w:r>
          </w:p>
        </w:tc>
      </w:tr>
      <w:tr w:rsidR="00A84AE5" w:rsidRPr="00BD2EB8" w:rsidTr="0034126A">
        <w:trPr>
          <w:trHeight w:val="605"/>
          <w:jc w:val="center"/>
        </w:trPr>
        <w:tc>
          <w:tcPr>
            <w:tcW w:w="4537" w:type="dxa"/>
            <w:shd w:val="clear" w:color="auto" w:fill="auto"/>
            <w:tcMar>
              <w:left w:w="108" w:type="dxa"/>
            </w:tcMar>
          </w:tcPr>
          <w:p w:rsidR="00A84AE5" w:rsidRPr="00BD2EB8" w:rsidRDefault="00A84AE5">
            <w:pPr>
              <w:spacing w:line="240" w:lineRule="auto"/>
              <w:jc w:val="left"/>
            </w:pPr>
          </w:p>
        </w:tc>
        <w:tc>
          <w:tcPr>
            <w:tcW w:w="1363" w:type="dxa"/>
            <w:shd w:val="clear" w:color="auto" w:fill="auto"/>
            <w:tcMar>
              <w:left w:w="108" w:type="dxa"/>
            </w:tcMar>
          </w:tcPr>
          <w:p w:rsidR="00A84AE5" w:rsidRPr="00BD2EB8" w:rsidRDefault="00A84AE5">
            <w:pPr>
              <w:spacing w:line="240" w:lineRule="auto"/>
              <w:jc w:val="center"/>
            </w:pPr>
          </w:p>
        </w:tc>
        <w:tc>
          <w:tcPr>
            <w:tcW w:w="1208" w:type="dxa"/>
            <w:shd w:val="clear" w:color="auto" w:fill="auto"/>
            <w:tcMar>
              <w:left w:w="108" w:type="dxa"/>
            </w:tcMar>
          </w:tcPr>
          <w:p w:rsidR="00A84AE5" w:rsidRPr="00BD2EB8" w:rsidRDefault="00A84AE5">
            <w:pPr>
              <w:spacing w:line="240" w:lineRule="auto"/>
              <w:jc w:val="center"/>
            </w:pPr>
          </w:p>
        </w:tc>
        <w:tc>
          <w:tcPr>
            <w:tcW w:w="2705" w:type="dxa"/>
            <w:shd w:val="clear" w:color="auto" w:fill="auto"/>
            <w:tcMar>
              <w:left w:w="108" w:type="dxa"/>
            </w:tcMar>
          </w:tcPr>
          <w:p w:rsidR="00A84AE5" w:rsidRPr="00BD2EB8" w:rsidRDefault="00A84AE5">
            <w:pPr>
              <w:spacing w:line="240" w:lineRule="auto"/>
              <w:jc w:val="center"/>
            </w:pPr>
          </w:p>
        </w:tc>
      </w:tr>
    </w:tbl>
    <w:p w:rsidR="00A84AE5" w:rsidRPr="00BD2EB8" w:rsidRDefault="00A84AE5">
      <w:pPr>
        <w:spacing w:after="200" w:line="276" w:lineRule="auto"/>
        <w:jc w:val="left"/>
      </w:pPr>
    </w:p>
    <w:sectPr w:rsidR="00A84AE5" w:rsidRPr="00BD2EB8" w:rsidSect="00A84AE5">
      <w:headerReference w:type="even" r:id="rId12"/>
      <w:headerReference w:type="default" r:id="rId13"/>
      <w:footerReference w:type="even" r:id="rId14"/>
      <w:footerReference w:type="default" r:id="rId15"/>
      <w:headerReference w:type="first" r:id="rId16"/>
      <w:footerReference w:type="first" r:id="rId17"/>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E0C" w:rsidRDefault="00043E0C" w:rsidP="00A84AE5">
      <w:pPr>
        <w:spacing w:line="240" w:lineRule="auto"/>
      </w:pPr>
      <w:r>
        <w:separator/>
      </w:r>
    </w:p>
  </w:endnote>
  <w:endnote w:type="continuationSeparator" w:id="0">
    <w:p w:rsidR="00043E0C" w:rsidRDefault="00043E0C" w:rsidP="00A84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3D" w:rsidRDefault="004B62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AE5" w:rsidRDefault="00A84AE5">
    <w:pPr>
      <w:spacing w:line="276" w:lineRule="auto"/>
      <w:jc w:val="left"/>
    </w:pPr>
  </w:p>
  <w:tbl>
    <w:tblPr>
      <w:tblStyle w:val="Tablaconcuadrcula"/>
      <w:tblW w:w="9180" w:type="dxa"/>
      <w:jc w:val="center"/>
      <w:tblLook w:val="04A0" w:firstRow="1" w:lastRow="0" w:firstColumn="1" w:lastColumn="0" w:noHBand="0" w:noVBand="1"/>
    </w:tblPr>
    <w:tblGrid>
      <w:gridCol w:w="3060"/>
      <w:gridCol w:w="3060"/>
      <w:gridCol w:w="3060"/>
    </w:tblGrid>
    <w:tr w:rsidR="00A84AE5" w:rsidTr="009F402F">
      <w:trPr>
        <w:trHeight w:val="705"/>
        <w:jc w:val="center"/>
      </w:trPr>
      <w:tc>
        <w:tcPr>
          <w:tcW w:w="3060" w:type="dxa"/>
          <w:shd w:val="clear" w:color="auto" w:fill="auto"/>
          <w:tcMar>
            <w:left w:w="108" w:type="dxa"/>
          </w:tcMar>
          <w:vAlign w:val="center"/>
        </w:tcPr>
        <w:p w:rsidR="00A84AE5" w:rsidRDefault="00A84AE5" w:rsidP="009F402F">
          <w:pPr>
            <w:pStyle w:val="Piedepgina1"/>
            <w:jc w:val="center"/>
            <w:rPr>
              <w:b/>
              <w:sz w:val="8"/>
              <w:szCs w:val="8"/>
            </w:rPr>
          </w:pPr>
        </w:p>
        <w:p w:rsidR="00A84AE5" w:rsidRDefault="00487725" w:rsidP="009F402F">
          <w:pPr>
            <w:pStyle w:val="Piedepgina1"/>
            <w:jc w:val="center"/>
            <w:rPr>
              <w:b/>
              <w:sz w:val="18"/>
              <w:szCs w:val="18"/>
            </w:rPr>
          </w:pPr>
          <w:r>
            <w:rPr>
              <w:b/>
              <w:sz w:val="18"/>
              <w:szCs w:val="18"/>
            </w:rPr>
            <w:t>ELABORADO POR:</w:t>
          </w:r>
        </w:p>
        <w:p w:rsidR="00A84AE5" w:rsidRDefault="0098309A" w:rsidP="009F402F">
          <w:pPr>
            <w:pStyle w:val="Piedepgina1"/>
            <w:jc w:val="center"/>
            <w:rPr>
              <w:sz w:val="18"/>
              <w:szCs w:val="18"/>
            </w:rPr>
          </w:pPr>
          <w:r>
            <w:rPr>
              <w:sz w:val="18"/>
              <w:szCs w:val="18"/>
            </w:rPr>
            <w:t>N.L./J.F.O.</w:t>
          </w:r>
        </w:p>
      </w:tc>
      <w:tc>
        <w:tcPr>
          <w:tcW w:w="3060" w:type="dxa"/>
          <w:shd w:val="clear" w:color="auto" w:fill="auto"/>
          <w:tcMar>
            <w:left w:w="108" w:type="dxa"/>
          </w:tcMar>
          <w:vAlign w:val="center"/>
        </w:tcPr>
        <w:p w:rsidR="00A84AE5" w:rsidRDefault="00A84AE5" w:rsidP="009F402F">
          <w:pPr>
            <w:pStyle w:val="Piedepgina1"/>
            <w:jc w:val="center"/>
            <w:rPr>
              <w:b/>
              <w:sz w:val="8"/>
              <w:szCs w:val="8"/>
            </w:rPr>
          </w:pPr>
        </w:p>
        <w:p w:rsidR="00A84AE5" w:rsidRDefault="00487725" w:rsidP="009F402F">
          <w:pPr>
            <w:pStyle w:val="Piedepgina1"/>
            <w:jc w:val="center"/>
            <w:rPr>
              <w:b/>
              <w:sz w:val="18"/>
              <w:szCs w:val="18"/>
            </w:rPr>
          </w:pPr>
          <w:r>
            <w:rPr>
              <w:b/>
              <w:sz w:val="18"/>
              <w:szCs w:val="18"/>
            </w:rPr>
            <w:t>REVISADO POR:</w:t>
          </w:r>
        </w:p>
        <w:p w:rsidR="00A84AE5" w:rsidRDefault="009F402F" w:rsidP="009F402F">
          <w:pPr>
            <w:pStyle w:val="Piedepgina1"/>
            <w:jc w:val="center"/>
            <w:rPr>
              <w:sz w:val="18"/>
              <w:szCs w:val="18"/>
            </w:rPr>
          </w:pPr>
          <w:r>
            <w:rPr>
              <w:sz w:val="18"/>
              <w:szCs w:val="18"/>
            </w:rPr>
            <w:t>N.R</w:t>
          </w:r>
        </w:p>
      </w:tc>
      <w:tc>
        <w:tcPr>
          <w:tcW w:w="3060" w:type="dxa"/>
          <w:shd w:val="clear" w:color="auto" w:fill="auto"/>
          <w:tcMar>
            <w:left w:w="108" w:type="dxa"/>
          </w:tcMar>
          <w:vAlign w:val="center"/>
        </w:tcPr>
        <w:p w:rsidR="00A84AE5" w:rsidRDefault="00A84AE5" w:rsidP="009F402F">
          <w:pPr>
            <w:pStyle w:val="Piedepgina1"/>
            <w:jc w:val="center"/>
            <w:rPr>
              <w:b/>
              <w:sz w:val="8"/>
              <w:szCs w:val="8"/>
            </w:rPr>
          </w:pPr>
        </w:p>
        <w:p w:rsidR="00A84AE5" w:rsidRDefault="00487725" w:rsidP="009F402F">
          <w:pPr>
            <w:pStyle w:val="Piedepgina1"/>
            <w:jc w:val="center"/>
            <w:rPr>
              <w:sz w:val="18"/>
              <w:szCs w:val="18"/>
            </w:rPr>
          </w:pPr>
          <w:r>
            <w:rPr>
              <w:b/>
              <w:sz w:val="18"/>
              <w:szCs w:val="18"/>
            </w:rPr>
            <w:t>APROBADO POR:</w:t>
          </w:r>
        </w:p>
        <w:p w:rsidR="00A84AE5" w:rsidRDefault="009F402F" w:rsidP="009F402F">
          <w:pPr>
            <w:pStyle w:val="Piedepgina1"/>
            <w:jc w:val="center"/>
            <w:rPr>
              <w:sz w:val="18"/>
              <w:szCs w:val="18"/>
            </w:rPr>
          </w:pPr>
          <w:bookmarkStart w:id="1" w:name="OLE_LINK1"/>
          <w:r>
            <w:rPr>
              <w:sz w:val="18"/>
              <w:szCs w:val="18"/>
            </w:rPr>
            <w:t>J.F.O.</w:t>
          </w:r>
        </w:p>
      </w:tc>
    </w:tr>
  </w:tbl>
  <w:p w:rsidR="00A84AE5" w:rsidRDefault="00487725">
    <w:pPr>
      <w:spacing w:line="240" w:lineRule="auto"/>
      <w:jc w:val="center"/>
      <w:rPr>
        <w:rFonts w:eastAsiaTheme="minorHAnsi"/>
        <w:b/>
        <w:bCs/>
        <w:sz w:val="16"/>
        <w:szCs w:val="16"/>
        <w:lang w:eastAsia="en-US"/>
      </w:rPr>
    </w:pPr>
    <w:r>
      <w:rPr>
        <w:rFonts w:eastAsiaTheme="minorHAnsi"/>
        <w:i/>
        <w:iCs/>
        <w:sz w:val="16"/>
        <w:szCs w:val="16"/>
        <w:lang w:eastAsia="en-US"/>
      </w:rPr>
      <w:t xml:space="preserve">La información contenida en el presente documento es de carácter </w:t>
    </w:r>
    <w:r>
      <w:rPr>
        <w:rFonts w:eastAsiaTheme="minorHAnsi"/>
        <w:b/>
        <w:i/>
        <w:iCs/>
        <w:sz w:val="16"/>
        <w:szCs w:val="16"/>
        <w:lang w:eastAsia="en-US"/>
      </w:rPr>
      <w:t xml:space="preserve">Confidencial </w:t>
    </w:r>
    <w:r>
      <w:rPr>
        <w:rFonts w:eastAsiaTheme="minorHAnsi"/>
        <w:i/>
        <w:iCs/>
        <w:sz w:val="16"/>
        <w:szCs w:val="16"/>
        <w:lang w:eastAsia="en-US"/>
      </w:rPr>
      <w:t xml:space="preserve">y de uso exclusivo de </w:t>
    </w:r>
    <w:r>
      <w:rPr>
        <w:rFonts w:eastAsiaTheme="minorHAnsi"/>
        <w:b/>
        <w:bCs/>
        <w:sz w:val="16"/>
        <w:szCs w:val="16"/>
        <w:lang w:eastAsia="en-US"/>
      </w:rPr>
      <w:t>La Universidad de</w:t>
    </w:r>
  </w:p>
  <w:p w:rsidR="00A84AE5" w:rsidRDefault="00487725">
    <w:pPr>
      <w:spacing w:line="240" w:lineRule="auto"/>
      <w:jc w:val="center"/>
    </w:pPr>
    <w:r>
      <w:rPr>
        <w:rFonts w:eastAsiaTheme="minorHAnsi"/>
        <w:b/>
        <w:bCs/>
        <w:sz w:val="16"/>
        <w:szCs w:val="16"/>
        <w:lang w:eastAsia="en-US"/>
      </w:rPr>
      <w:t>los Andes</w:t>
    </w:r>
    <w:r>
      <w:rPr>
        <w:rFonts w:eastAsiaTheme="minorHAnsi"/>
        <w:b/>
        <w:bCs/>
        <w:i/>
        <w:iCs/>
        <w:sz w:val="16"/>
        <w:szCs w:val="16"/>
        <w:lang w:eastAsia="en-US"/>
      </w:rPr>
      <w:t xml:space="preserve">. </w:t>
    </w:r>
    <w:r>
      <w:rPr>
        <w:rFonts w:eastAsiaTheme="minorHAnsi"/>
        <w:i/>
        <w:iCs/>
        <w:sz w:val="16"/>
        <w:szCs w:val="16"/>
        <w:lang w:eastAsia="en-US"/>
      </w:rPr>
      <w:t>Las personas que lo reciben son responsables por su seguridad y prevención del uso indebido</w:t>
    </w:r>
    <w:bookmarkEnd w:id="1"/>
    <w:r>
      <w:rPr>
        <w:rFonts w:eastAsiaTheme="minorHAnsi"/>
        <w:sz w:val="16"/>
        <w:szCs w:val="16"/>
        <w:lang w:eastAsia="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3D" w:rsidRDefault="004B62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E0C" w:rsidRDefault="00043E0C" w:rsidP="00A84AE5">
      <w:pPr>
        <w:spacing w:line="240" w:lineRule="auto"/>
      </w:pPr>
      <w:r>
        <w:separator/>
      </w:r>
    </w:p>
  </w:footnote>
  <w:footnote w:type="continuationSeparator" w:id="0">
    <w:p w:rsidR="00043E0C" w:rsidRDefault="00043E0C" w:rsidP="00A84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3D" w:rsidRDefault="004B62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180" w:type="dxa"/>
      <w:jc w:val="center"/>
      <w:tblLook w:val="04A0" w:firstRow="1" w:lastRow="0" w:firstColumn="1" w:lastColumn="0" w:noHBand="0" w:noVBand="1"/>
    </w:tblPr>
    <w:tblGrid>
      <w:gridCol w:w="2723"/>
      <w:gridCol w:w="2152"/>
      <w:gridCol w:w="2152"/>
      <w:gridCol w:w="2153"/>
    </w:tblGrid>
    <w:tr w:rsidR="00A84AE5">
      <w:trPr>
        <w:trHeight w:val="253"/>
        <w:jc w:val="center"/>
      </w:trPr>
      <w:tc>
        <w:tcPr>
          <w:tcW w:w="2722" w:type="dxa"/>
          <w:vMerge w:val="restart"/>
          <w:shd w:val="clear" w:color="auto" w:fill="auto"/>
          <w:tcMar>
            <w:left w:w="108" w:type="dxa"/>
          </w:tcMar>
          <w:vAlign w:val="center"/>
        </w:tcPr>
        <w:p w:rsidR="00A84AE5" w:rsidRDefault="00487725" w:rsidP="0034126A">
          <w:pPr>
            <w:pStyle w:val="Encabezado1"/>
            <w:spacing w:before="0" w:after="0"/>
            <w:jc w:val="center"/>
            <w:rPr>
              <w:lang w:val="es-ES"/>
            </w:rPr>
          </w:pPr>
          <w:r>
            <w:rPr>
              <w:noProof/>
            </w:rPr>
            <w:drawing>
              <wp:inline distT="0" distB="0" distL="0" distR="0">
                <wp:extent cx="1337310" cy="5143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rsidR="00A84AE5" w:rsidRDefault="00487725" w:rsidP="0034126A">
          <w:pPr>
            <w:pStyle w:val="Encabezado1"/>
            <w:spacing w:before="0" w:after="0"/>
            <w:jc w:val="center"/>
            <w:rPr>
              <w:b/>
            </w:rPr>
          </w:pPr>
          <w:r>
            <w:rPr>
              <w:b/>
            </w:rPr>
            <w:t>Departamento de Ingeniería Eléctrica y Electrónica</w:t>
          </w:r>
        </w:p>
      </w:tc>
    </w:tr>
    <w:tr w:rsidR="00A84AE5">
      <w:trPr>
        <w:trHeight w:val="253"/>
        <w:jc w:val="center"/>
      </w:trPr>
      <w:tc>
        <w:tcPr>
          <w:tcW w:w="2722" w:type="dxa"/>
          <w:vMerge/>
          <w:shd w:val="clear" w:color="auto" w:fill="auto"/>
          <w:tcMar>
            <w:left w:w="108" w:type="dxa"/>
          </w:tcMar>
        </w:tcPr>
        <w:p w:rsidR="00A84AE5" w:rsidRDefault="00A84AE5" w:rsidP="0034126A">
          <w:pPr>
            <w:pStyle w:val="Encabezado1"/>
            <w:spacing w:before="0" w:after="0"/>
          </w:pPr>
        </w:p>
      </w:tc>
      <w:tc>
        <w:tcPr>
          <w:tcW w:w="6457" w:type="dxa"/>
          <w:gridSpan w:val="3"/>
          <w:shd w:val="clear" w:color="auto" w:fill="auto"/>
          <w:tcMar>
            <w:left w:w="108" w:type="dxa"/>
          </w:tcMar>
          <w:vAlign w:val="center"/>
        </w:tcPr>
        <w:p w:rsidR="00A84AE5" w:rsidRDefault="00487725" w:rsidP="0034126A">
          <w:pPr>
            <w:pStyle w:val="Encabezado1"/>
            <w:spacing w:before="0" w:after="0"/>
            <w:jc w:val="center"/>
            <w:rPr>
              <w:b/>
            </w:rPr>
          </w:pPr>
          <w:r>
            <w:rPr>
              <w:b/>
            </w:rPr>
            <w:t>Laboratorio de Ingeniería Eléctrica y Electrónica</w:t>
          </w:r>
        </w:p>
      </w:tc>
    </w:tr>
    <w:tr w:rsidR="00A84AE5">
      <w:trPr>
        <w:trHeight w:val="253"/>
        <w:jc w:val="center"/>
      </w:trPr>
      <w:tc>
        <w:tcPr>
          <w:tcW w:w="2722" w:type="dxa"/>
          <w:vMerge/>
          <w:shd w:val="clear" w:color="auto" w:fill="auto"/>
          <w:tcMar>
            <w:left w:w="108" w:type="dxa"/>
          </w:tcMar>
        </w:tcPr>
        <w:p w:rsidR="00A84AE5" w:rsidRDefault="00A84AE5" w:rsidP="0034126A">
          <w:pPr>
            <w:pStyle w:val="Encabezado1"/>
            <w:spacing w:before="0" w:after="0"/>
          </w:pPr>
        </w:p>
      </w:tc>
      <w:tc>
        <w:tcPr>
          <w:tcW w:w="6457" w:type="dxa"/>
          <w:gridSpan w:val="3"/>
          <w:shd w:val="clear" w:color="auto" w:fill="auto"/>
          <w:tcMar>
            <w:left w:w="108" w:type="dxa"/>
          </w:tcMar>
          <w:vAlign w:val="center"/>
        </w:tcPr>
        <w:p w:rsidR="00A84AE5" w:rsidRDefault="00487725" w:rsidP="0034126A">
          <w:pPr>
            <w:pStyle w:val="Encabezado1"/>
            <w:spacing w:before="0" w:after="0"/>
            <w:jc w:val="center"/>
            <w:rPr>
              <w:b/>
            </w:rPr>
          </w:pPr>
          <w:r>
            <w:rPr>
              <w:b/>
            </w:rPr>
            <w:t>Centro de Microelectrónica Universidad de los Andes</w:t>
          </w:r>
        </w:p>
      </w:tc>
    </w:tr>
    <w:tr w:rsidR="00A84AE5">
      <w:trPr>
        <w:trHeight w:val="253"/>
        <w:jc w:val="center"/>
      </w:trPr>
      <w:tc>
        <w:tcPr>
          <w:tcW w:w="2722" w:type="dxa"/>
          <w:vMerge/>
          <w:shd w:val="clear" w:color="auto" w:fill="auto"/>
          <w:tcMar>
            <w:left w:w="108" w:type="dxa"/>
          </w:tcMar>
        </w:tcPr>
        <w:p w:rsidR="00A84AE5" w:rsidRDefault="00A84AE5" w:rsidP="0034126A">
          <w:pPr>
            <w:pStyle w:val="Encabezado1"/>
            <w:spacing w:before="0" w:after="0"/>
          </w:pPr>
        </w:p>
      </w:tc>
      <w:tc>
        <w:tcPr>
          <w:tcW w:w="6457" w:type="dxa"/>
          <w:gridSpan w:val="3"/>
          <w:shd w:val="clear" w:color="auto" w:fill="auto"/>
          <w:tcMar>
            <w:left w:w="108" w:type="dxa"/>
          </w:tcMar>
          <w:vAlign w:val="center"/>
        </w:tcPr>
        <w:p w:rsidR="00A84AE5" w:rsidRDefault="00487725" w:rsidP="0034126A">
          <w:pPr>
            <w:pStyle w:val="Encabezado1"/>
            <w:spacing w:before="0" w:after="0"/>
            <w:jc w:val="center"/>
            <w:rPr>
              <w:b/>
            </w:rPr>
          </w:pPr>
          <w:r>
            <w:rPr>
              <w:b/>
            </w:rPr>
            <w:t>Línea de Biosensores y Microsistemas</w:t>
          </w:r>
        </w:p>
      </w:tc>
    </w:tr>
    <w:tr w:rsidR="00A84AE5">
      <w:trPr>
        <w:trHeight w:val="253"/>
        <w:jc w:val="center"/>
      </w:trPr>
      <w:tc>
        <w:tcPr>
          <w:tcW w:w="2722" w:type="dxa"/>
          <w:vMerge/>
          <w:shd w:val="clear" w:color="auto" w:fill="auto"/>
          <w:tcMar>
            <w:left w:w="108" w:type="dxa"/>
          </w:tcMar>
        </w:tcPr>
        <w:p w:rsidR="00A84AE5" w:rsidRDefault="00A84AE5" w:rsidP="0034126A">
          <w:pPr>
            <w:pStyle w:val="Encabezado1"/>
            <w:spacing w:before="0" w:after="0"/>
          </w:pPr>
        </w:p>
      </w:tc>
      <w:tc>
        <w:tcPr>
          <w:tcW w:w="6457" w:type="dxa"/>
          <w:gridSpan w:val="3"/>
          <w:shd w:val="clear" w:color="auto" w:fill="auto"/>
          <w:tcMar>
            <w:left w:w="108" w:type="dxa"/>
          </w:tcMar>
          <w:vAlign w:val="center"/>
        </w:tcPr>
        <w:p w:rsidR="00A84AE5" w:rsidRDefault="00487725" w:rsidP="0034126A">
          <w:pPr>
            <w:pStyle w:val="Encabezado1"/>
            <w:spacing w:before="0" w:after="0"/>
            <w:jc w:val="center"/>
            <w:rPr>
              <w:b/>
            </w:rPr>
          </w:pPr>
          <w:r>
            <w:rPr>
              <w:b/>
            </w:rPr>
            <w:t xml:space="preserve">Protocolo de </w:t>
          </w:r>
          <w:r w:rsidR="009F402F">
            <w:rPr>
              <w:b/>
            </w:rPr>
            <w:t>Manufactura</w:t>
          </w:r>
        </w:p>
      </w:tc>
    </w:tr>
    <w:tr w:rsidR="00A84AE5">
      <w:trPr>
        <w:trHeight w:val="253"/>
        <w:jc w:val="center"/>
      </w:trPr>
      <w:tc>
        <w:tcPr>
          <w:tcW w:w="2722" w:type="dxa"/>
          <w:vMerge/>
          <w:shd w:val="clear" w:color="auto" w:fill="auto"/>
          <w:tcMar>
            <w:left w:w="108" w:type="dxa"/>
          </w:tcMar>
        </w:tcPr>
        <w:p w:rsidR="00A84AE5" w:rsidRDefault="00A84AE5" w:rsidP="0034126A">
          <w:pPr>
            <w:pStyle w:val="Encabezado1"/>
            <w:spacing w:before="0" w:after="0"/>
          </w:pPr>
        </w:p>
      </w:tc>
      <w:tc>
        <w:tcPr>
          <w:tcW w:w="6457" w:type="dxa"/>
          <w:gridSpan w:val="3"/>
          <w:shd w:val="clear" w:color="auto" w:fill="auto"/>
          <w:tcMar>
            <w:left w:w="108" w:type="dxa"/>
          </w:tcMar>
          <w:vAlign w:val="center"/>
        </w:tcPr>
        <w:p w:rsidR="00A84AE5" w:rsidRDefault="009F402F" w:rsidP="0034126A">
          <w:pPr>
            <w:pStyle w:val="Encabezado1"/>
            <w:spacing w:before="0" w:after="0"/>
            <w:jc w:val="center"/>
            <w:rPr>
              <w:b/>
            </w:rPr>
          </w:pPr>
          <w:r w:rsidRPr="009F402F">
            <w:rPr>
              <w:b/>
            </w:rPr>
            <w:t>Síntesis verde de nanopartículas de cobre</w:t>
          </w:r>
        </w:p>
      </w:tc>
    </w:tr>
    <w:tr w:rsidR="00A84AE5">
      <w:trPr>
        <w:trHeight w:val="253"/>
        <w:jc w:val="center"/>
      </w:trPr>
      <w:tc>
        <w:tcPr>
          <w:tcW w:w="2722" w:type="dxa"/>
          <w:shd w:val="clear" w:color="auto" w:fill="auto"/>
          <w:tcMar>
            <w:left w:w="108" w:type="dxa"/>
          </w:tcMar>
          <w:vAlign w:val="center"/>
        </w:tcPr>
        <w:p w:rsidR="00A84AE5" w:rsidRDefault="00487725" w:rsidP="0034126A">
          <w:pPr>
            <w:pStyle w:val="Encabezado1"/>
            <w:spacing w:before="0" w:after="0"/>
            <w:rPr>
              <w:sz w:val="16"/>
              <w:szCs w:val="16"/>
            </w:rPr>
          </w:pPr>
          <w:r>
            <w:rPr>
              <w:sz w:val="16"/>
              <w:szCs w:val="16"/>
            </w:rPr>
            <w:t>Fecha: 31 de Agosto de 2015</w:t>
          </w:r>
        </w:p>
      </w:tc>
      <w:tc>
        <w:tcPr>
          <w:tcW w:w="2152" w:type="dxa"/>
          <w:shd w:val="clear" w:color="auto" w:fill="auto"/>
          <w:tcMar>
            <w:left w:w="108" w:type="dxa"/>
          </w:tcMar>
          <w:vAlign w:val="center"/>
        </w:tcPr>
        <w:p w:rsidR="00A84AE5" w:rsidRDefault="00487725" w:rsidP="0034126A">
          <w:pPr>
            <w:pStyle w:val="Encabezado1"/>
            <w:spacing w:before="0" w:after="0"/>
            <w:jc w:val="center"/>
            <w:rPr>
              <w:sz w:val="16"/>
              <w:szCs w:val="16"/>
            </w:rPr>
          </w:pPr>
          <w:r>
            <w:rPr>
              <w:sz w:val="16"/>
              <w:szCs w:val="16"/>
            </w:rPr>
            <w:t xml:space="preserve">Código: </w:t>
          </w:r>
          <w:r w:rsidR="009F402F">
            <w:rPr>
              <w:sz w:val="16"/>
              <w:szCs w:val="16"/>
            </w:rPr>
            <w:t>PMF201501</w:t>
          </w:r>
        </w:p>
      </w:tc>
      <w:tc>
        <w:tcPr>
          <w:tcW w:w="2152" w:type="dxa"/>
          <w:shd w:val="clear" w:color="auto" w:fill="auto"/>
          <w:tcMar>
            <w:left w:w="108" w:type="dxa"/>
          </w:tcMar>
          <w:vAlign w:val="center"/>
        </w:tcPr>
        <w:p w:rsidR="00A84AE5" w:rsidRDefault="00487725" w:rsidP="0034126A">
          <w:pPr>
            <w:pStyle w:val="Encabezado1"/>
            <w:spacing w:before="0" w:after="0"/>
            <w:jc w:val="center"/>
          </w:pPr>
          <w:r>
            <w:rPr>
              <w:sz w:val="16"/>
              <w:szCs w:val="16"/>
            </w:rPr>
            <w:t xml:space="preserve">Página: </w:t>
          </w:r>
          <w:r w:rsidR="00A84AE5">
            <w:rPr>
              <w:sz w:val="16"/>
              <w:szCs w:val="16"/>
            </w:rPr>
            <w:fldChar w:fldCharType="begin"/>
          </w:r>
          <w:r>
            <w:instrText>PAGE \* ARABIC</w:instrText>
          </w:r>
          <w:r w:rsidR="00A84AE5">
            <w:fldChar w:fldCharType="separate"/>
          </w:r>
          <w:r w:rsidR="009F402F">
            <w:rPr>
              <w:noProof/>
            </w:rPr>
            <w:t>4</w:t>
          </w:r>
          <w:r w:rsidR="00A84AE5">
            <w:fldChar w:fldCharType="end"/>
          </w:r>
          <w:r>
            <w:rPr>
              <w:sz w:val="16"/>
              <w:szCs w:val="16"/>
            </w:rPr>
            <w:t xml:space="preserve"> de </w:t>
          </w:r>
          <w:r w:rsidR="00A84AE5">
            <w:rPr>
              <w:sz w:val="16"/>
              <w:szCs w:val="16"/>
            </w:rPr>
            <w:fldChar w:fldCharType="begin"/>
          </w:r>
          <w:r>
            <w:instrText>NUMPAGES \* ARABIC</w:instrText>
          </w:r>
          <w:r w:rsidR="00A84AE5">
            <w:fldChar w:fldCharType="separate"/>
          </w:r>
          <w:r w:rsidR="009F402F">
            <w:rPr>
              <w:noProof/>
            </w:rPr>
            <w:t>4</w:t>
          </w:r>
          <w:r w:rsidR="00A84AE5">
            <w:fldChar w:fldCharType="end"/>
          </w:r>
        </w:p>
      </w:tc>
      <w:tc>
        <w:tcPr>
          <w:tcW w:w="2153" w:type="dxa"/>
          <w:shd w:val="clear" w:color="auto" w:fill="auto"/>
          <w:tcMar>
            <w:left w:w="108" w:type="dxa"/>
          </w:tcMar>
          <w:vAlign w:val="center"/>
        </w:tcPr>
        <w:p w:rsidR="00A84AE5" w:rsidRDefault="00487725" w:rsidP="0034126A">
          <w:pPr>
            <w:pStyle w:val="Encabezado1"/>
            <w:spacing w:before="0" w:after="0"/>
            <w:jc w:val="center"/>
            <w:rPr>
              <w:sz w:val="16"/>
              <w:szCs w:val="16"/>
            </w:rPr>
          </w:pPr>
          <w:r>
            <w:rPr>
              <w:sz w:val="16"/>
              <w:szCs w:val="16"/>
            </w:rPr>
            <w:t>Versión: 1.0</w:t>
          </w:r>
        </w:p>
      </w:tc>
    </w:tr>
  </w:tbl>
  <w:p w:rsidR="00A84AE5" w:rsidRDefault="00A84AE5">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AE5" w:rsidRDefault="00BC2B10">
    <w:pPr>
      <w:pStyle w:val="Encabezado1"/>
      <w:jc w:val="center"/>
    </w:pPr>
    <w:sdt>
      <w:sdtPr>
        <w:id w:val="-1294661307"/>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487725">
      <w:rPr>
        <w:noProof/>
      </w:rPr>
      <w:drawing>
        <wp:inline distT="0" distB="0" distL="0" distR="0">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44713"/>
    <w:multiLevelType w:val="multilevel"/>
    <w:tmpl w:val="ED64A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DD29F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0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3C1B1A"/>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4" w15:restartNumberingAfterBreak="0">
    <w:nsid w:val="29BA004C"/>
    <w:multiLevelType w:val="multilevel"/>
    <w:tmpl w:val="0FBAA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CC1738"/>
    <w:multiLevelType w:val="multilevel"/>
    <w:tmpl w:val="F6385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F60ADA"/>
    <w:multiLevelType w:val="multilevel"/>
    <w:tmpl w:val="F6385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AA064D"/>
    <w:multiLevelType w:val="multilevel"/>
    <w:tmpl w:val="D1E022E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15:restartNumberingAfterBreak="0">
    <w:nsid w:val="59A724A1"/>
    <w:multiLevelType w:val="hybridMultilevel"/>
    <w:tmpl w:val="01B497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F3378F7"/>
    <w:multiLevelType w:val="multilevel"/>
    <w:tmpl w:val="D3201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44300F"/>
    <w:multiLevelType w:val="hybridMultilevel"/>
    <w:tmpl w:val="FCDE7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583F58"/>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12" w15:restartNumberingAfterBreak="0">
    <w:nsid w:val="67CA0980"/>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13" w15:restartNumberingAfterBreak="0">
    <w:nsid w:val="76127011"/>
    <w:multiLevelType w:val="multilevel"/>
    <w:tmpl w:val="F6385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303F6F"/>
    <w:multiLevelType w:val="hybridMultilevel"/>
    <w:tmpl w:val="889C2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9"/>
  </w:num>
  <w:num w:numId="6">
    <w:abstractNumId w:val="10"/>
  </w:num>
  <w:num w:numId="7">
    <w:abstractNumId w:val="8"/>
  </w:num>
  <w:num w:numId="8">
    <w:abstractNumId w:val="6"/>
  </w:num>
  <w:num w:numId="9">
    <w:abstractNumId w:val="13"/>
  </w:num>
  <w:num w:numId="10">
    <w:abstractNumId w:val="14"/>
  </w:num>
  <w:num w:numId="11">
    <w:abstractNumId w:val="12"/>
  </w:num>
  <w:num w:numId="12">
    <w:abstractNumId w:val="3"/>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AE5"/>
    <w:rsid w:val="00043E0C"/>
    <w:rsid w:val="0025687F"/>
    <w:rsid w:val="0034126A"/>
    <w:rsid w:val="00487725"/>
    <w:rsid w:val="004B623D"/>
    <w:rsid w:val="005533EF"/>
    <w:rsid w:val="006C7EC9"/>
    <w:rsid w:val="00810E82"/>
    <w:rsid w:val="009361EF"/>
    <w:rsid w:val="0098309A"/>
    <w:rsid w:val="009F402F"/>
    <w:rsid w:val="00A84AE5"/>
    <w:rsid w:val="00BC2B10"/>
    <w:rsid w:val="00BD2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4547537-4AE8-491E-BA3D-2203DAED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26A"/>
    <w:pPr>
      <w:suppressAutoHyphens/>
      <w:spacing w:before="120" w:after="120" w:line="36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34126A"/>
    <w:pPr>
      <w:keepNext/>
      <w:keepLines/>
      <w:spacing w:before="240" w:after="0"/>
      <w:outlineLvl w:val="0"/>
    </w:pPr>
    <w:rPr>
      <w:rFonts w:eastAsiaTheme="majorEastAsia" w:cstheme="majorBidi"/>
      <w:b/>
      <w:color w:val="auto"/>
      <w:szCs w:val="32"/>
    </w:rPr>
  </w:style>
  <w:style w:type="paragraph" w:styleId="Ttulo2">
    <w:name w:val="heading 2"/>
    <w:basedOn w:val="Normal"/>
    <w:next w:val="Normal"/>
    <w:link w:val="Ttulo2Car"/>
    <w:uiPriority w:val="9"/>
    <w:unhideWhenUsed/>
    <w:qFormat/>
    <w:rsid w:val="0034126A"/>
    <w:pPr>
      <w:keepNext/>
      <w:keepLines/>
      <w:spacing w:before="160"/>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Heading1Char"/>
    <w:uiPriority w:val="9"/>
    <w:qFormat/>
    <w:rsid w:val="0034126A"/>
    <w:pPr>
      <w:keepNext/>
      <w:keepLines/>
      <w:spacing w:before="240" w:line="276" w:lineRule="auto"/>
      <w:jc w:val="left"/>
      <w:outlineLvl w:val="0"/>
    </w:pPr>
    <w:rPr>
      <w:rFonts w:eastAsiaTheme="majorEastAsia" w:cstheme="majorBidi"/>
      <w:b/>
      <w:bCs/>
      <w:color w:val="auto"/>
      <w:szCs w:val="28"/>
      <w:lang w:val="es-MX" w:eastAsia="es-MX"/>
    </w:rPr>
  </w:style>
  <w:style w:type="paragraph" w:customStyle="1" w:styleId="Ttulo21">
    <w:name w:val="Título 21"/>
    <w:basedOn w:val="Normal"/>
    <w:link w:val="Heading2Char"/>
    <w:uiPriority w:val="9"/>
    <w:qFormat/>
    <w:rsid w:val="004579A1"/>
    <w:pPr>
      <w:spacing w:beforeAutospacing="1" w:afterAutospacing="1" w:line="240" w:lineRule="auto"/>
      <w:jc w:val="left"/>
      <w:outlineLvl w:val="1"/>
    </w:pPr>
    <w:rPr>
      <w:rFonts w:ascii="Times New Roman" w:eastAsia="Times New Roman" w:hAnsi="Times New Roman" w:cs="Times New Roman"/>
      <w:b/>
      <w:bCs/>
      <w:color w:val="00000A"/>
      <w:sz w:val="36"/>
      <w:szCs w:val="36"/>
    </w:rPr>
  </w:style>
  <w:style w:type="paragraph" w:customStyle="1" w:styleId="Ttulo31">
    <w:name w:val="Título 31"/>
    <w:basedOn w:val="Heading"/>
    <w:qFormat/>
    <w:rsid w:val="00A84AE5"/>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HeaderChar">
    <w:name w:val="Header Char"/>
    <w:basedOn w:val="Fuentedeprrafopredeter"/>
    <w:link w:val="Encabezado1"/>
    <w:uiPriority w:val="99"/>
    <w:qFormat/>
    <w:rsid w:val="007C002C"/>
    <w:rPr>
      <w:rFonts w:ascii="Arial" w:eastAsia="Arial" w:hAnsi="Arial" w:cs="Arial"/>
      <w:color w:val="000000"/>
      <w:lang w:eastAsia="es-CO"/>
    </w:rPr>
  </w:style>
  <w:style w:type="character" w:customStyle="1" w:styleId="FooterChar">
    <w:name w:val="Footer Char"/>
    <w:basedOn w:val="Fuentedeprrafopredeter"/>
    <w:link w:val="Piedepgina1"/>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Heading1Char">
    <w:name w:val="Heading 1 Char"/>
    <w:basedOn w:val="Fuentedeprrafopredeter"/>
    <w:link w:val="Ttulo11"/>
    <w:uiPriority w:val="9"/>
    <w:qFormat/>
    <w:rsid w:val="0034126A"/>
    <w:rPr>
      <w:rFonts w:ascii="Arial" w:eastAsiaTheme="majorEastAsia" w:hAnsi="Arial" w:cstheme="majorBidi"/>
      <w:b/>
      <w:bCs/>
      <w:szCs w:val="28"/>
      <w:lang w:val="es-MX" w:eastAsia="es-MX"/>
    </w:rPr>
  </w:style>
  <w:style w:type="character" w:customStyle="1" w:styleId="Heading2Char">
    <w:name w:val="Heading 2 Char"/>
    <w:basedOn w:val="Fuentedeprrafopredeter"/>
    <w:link w:val="Ttulo21"/>
    <w:uiPriority w:val="9"/>
    <w:qFormat/>
    <w:rsid w:val="004579A1"/>
    <w:rPr>
      <w:rFonts w:ascii="Times New Roman" w:eastAsia="Times New Roman" w:hAnsi="Times New Roman" w:cs="Times New Roman"/>
      <w:b/>
      <w:bCs/>
      <w:sz w:val="36"/>
      <w:szCs w:val="36"/>
      <w:lang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sid w:val="00A84AE5"/>
    <w:rPr>
      <w:rFonts w:cs="Courier New"/>
    </w:rPr>
  </w:style>
  <w:style w:type="paragraph" w:customStyle="1" w:styleId="Heading">
    <w:name w:val="Heading"/>
    <w:basedOn w:val="Normal"/>
    <w:next w:val="TextBody"/>
    <w:qFormat/>
    <w:rsid w:val="00A84AE5"/>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pPr>
      <w:spacing w:line="240" w:lineRule="auto"/>
    </w:pPr>
    <w:rPr>
      <w:rFonts w:ascii="Verdana" w:eastAsia="Times New Roman" w:hAnsi="Verdana" w:cs="Times New Roman"/>
      <w:color w:val="00000A"/>
      <w:sz w:val="20"/>
      <w:szCs w:val="20"/>
      <w:lang w:val="es-MX" w:eastAsia="es-ES"/>
    </w:rPr>
  </w:style>
  <w:style w:type="paragraph" w:styleId="Lista">
    <w:name w:val="List"/>
    <w:basedOn w:val="TextBody"/>
    <w:rsid w:val="00A84AE5"/>
    <w:rPr>
      <w:rFonts w:cs="FreeSans"/>
    </w:rPr>
  </w:style>
  <w:style w:type="paragraph" w:customStyle="1" w:styleId="Descripcin1">
    <w:name w:val="Descripción1"/>
    <w:basedOn w:val="Normal"/>
    <w:qFormat/>
    <w:rsid w:val="00A84AE5"/>
    <w:pPr>
      <w:suppressLineNumbers/>
    </w:pPr>
    <w:rPr>
      <w:rFonts w:cs="FreeSans"/>
      <w:i/>
      <w:iCs/>
      <w:sz w:val="24"/>
      <w:szCs w:val="24"/>
    </w:rPr>
  </w:style>
  <w:style w:type="paragraph" w:customStyle="1" w:styleId="Index">
    <w:name w:val="Index"/>
    <w:basedOn w:val="Normal"/>
    <w:qFormat/>
    <w:rsid w:val="00A84AE5"/>
    <w:pPr>
      <w:suppressLineNumbers/>
    </w:pPr>
    <w:rPr>
      <w:rFonts w:cs="FreeSans"/>
    </w:rPr>
  </w:style>
  <w:style w:type="paragraph" w:styleId="Textodeglobo">
    <w:name w:val="Balloon Text"/>
    <w:basedOn w:val="Normal"/>
    <w:link w:val="TextodegloboCar"/>
    <w:uiPriority w:val="99"/>
    <w:semiHidden/>
    <w:unhideWhenUsed/>
    <w:qFormat/>
    <w:rsid w:val="0028650D"/>
    <w:pPr>
      <w:spacing w:line="240" w:lineRule="auto"/>
    </w:pPr>
    <w:rPr>
      <w:rFonts w:ascii="Tahoma" w:hAnsi="Tahoma" w:cs="Tahoma"/>
      <w:sz w:val="16"/>
      <w:szCs w:val="16"/>
    </w:rPr>
  </w:style>
  <w:style w:type="paragraph" w:customStyle="1" w:styleId="Encabezado1">
    <w:name w:val="Encabezado1"/>
    <w:basedOn w:val="Normal"/>
    <w:link w:val="HeaderChar"/>
    <w:uiPriority w:val="99"/>
    <w:unhideWhenUsed/>
    <w:rsid w:val="007C002C"/>
    <w:pPr>
      <w:tabs>
        <w:tab w:val="center" w:pos="4419"/>
        <w:tab w:val="right" w:pos="8838"/>
      </w:tabs>
      <w:spacing w:line="240" w:lineRule="auto"/>
    </w:pPr>
  </w:style>
  <w:style w:type="paragraph" w:customStyle="1" w:styleId="Piedepgina1">
    <w:name w:val="Pie de página1"/>
    <w:basedOn w:val="Normal"/>
    <w:link w:val="FooterChar"/>
    <w:uiPriority w:val="99"/>
    <w:unhideWhenUsed/>
    <w:rsid w:val="007C002C"/>
    <w:pPr>
      <w:tabs>
        <w:tab w:val="center" w:pos="4419"/>
        <w:tab w:val="right" w:pos="8838"/>
      </w:tabs>
      <w:spacing w:line="240" w:lineRule="auto"/>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pPr>
      <w:spacing w:line="240" w:lineRule="auto"/>
    </w:pPr>
    <w:rPr>
      <w:sz w:val="20"/>
      <w:szCs w:val="20"/>
    </w:rPr>
  </w:style>
  <w:style w:type="paragraph" w:styleId="NormalWeb">
    <w:name w:val="Normal (Web)"/>
    <w:basedOn w:val="Normal"/>
    <w:uiPriority w:val="99"/>
    <w:semiHidden/>
    <w:unhideWhenUsed/>
    <w:qFormat/>
    <w:rsid w:val="000A1BF7"/>
    <w:pPr>
      <w:spacing w:beforeAutospacing="1" w:afterAutospacing="1" w:line="240" w:lineRule="auto"/>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spacing w:line="240" w:lineRule="auto"/>
    </w:pPr>
    <w:rPr>
      <w:rFonts w:ascii="Calibri" w:eastAsiaTheme="minorEastAsia" w:hAnsi="Calibri"/>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rsid w:val="00A84AE5"/>
  </w:style>
  <w:style w:type="paragraph" w:customStyle="1" w:styleId="Quotations">
    <w:name w:val="Quotations"/>
    <w:basedOn w:val="Normal"/>
    <w:qFormat/>
    <w:rsid w:val="00A84AE5"/>
  </w:style>
  <w:style w:type="paragraph" w:styleId="Ttulo">
    <w:name w:val="Title"/>
    <w:basedOn w:val="Heading"/>
    <w:qFormat/>
    <w:rsid w:val="00A84AE5"/>
  </w:style>
  <w:style w:type="paragraph" w:styleId="Subttulo">
    <w:name w:val="Subtitle"/>
    <w:basedOn w:val="Heading"/>
    <w:qFormat/>
    <w:rsid w:val="00A84AE5"/>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30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309A"/>
    <w:rPr>
      <w:rFonts w:ascii="Arial" w:eastAsia="Arial" w:hAnsi="Arial" w:cs="Arial"/>
      <w:color w:val="000000"/>
      <w:lang w:eastAsia="es-CO"/>
    </w:rPr>
  </w:style>
  <w:style w:type="paragraph" w:styleId="Piedepgina">
    <w:name w:val="footer"/>
    <w:basedOn w:val="Normal"/>
    <w:link w:val="PiedepginaCar"/>
    <w:uiPriority w:val="99"/>
    <w:unhideWhenUsed/>
    <w:rsid w:val="009830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309A"/>
    <w:rPr>
      <w:rFonts w:ascii="Arial" w:eastAsia="Arial" w:hAnsi="Arial" w:cs="Arial"/>
      <w:color w:val="000000"/>
      <w:lang w:eastAsia="es-CO"/>
    </w:rPr>
  </w:style>
  <w:style w:type="paragraph" w:styleId="Descripcin">
    <w:name w:val="caption"/>
    <w:basedOn w:val="Normal"/>
    <w:next w:val="Normal"/>
    <w:uiPriority w:val="35"/>
    <w:unhideWhenUsed/>
    <w:qFormat/>
    <w:rsid w:val="00BD2EB8"/>
    <w:pPr>
      <w:spacing w:after="200" w:line="240" w:lineRule="auto"/>
    </w:pPr>
    <w:rPr>
      <w:i/>
      <w:iCs/>
      <w:color w:val="auto"/>
      <w:sz w:val="18"/>
      <w:szCs w:val="18"/>
    </w:rPr>
  </w:style>
  <w:style w:type="character" w:styleId="Ttulodellibro">
    <w:name w:val="Book Title"/>
    <w:basedOn w:val="Fuentedeprrafopredeter"/>
    <w:uiPriority w:val="33"/>
    <w:qFormat/>
    <w:rsid w:val="009F402F"/>
    <w:rPr>
      <w:b/>
      <w:bCs/>
      <w:i/>
      <w:iCs/>
      <w:spacing w:val="5"/>
    </w:rPr>
  </w:style>
  <w:style w:type="character" w:customStyle="1" w:styleId="Ttulo1Car">
    <w:name w:val="Título 1 Car"/>
    <w:basedOn w:val="Fuentedeprrafopredeter"/>
    <w:link w:val="Ttulo1"/>
    <w:uiPriority w:val="9"/>
    <w:rsid w:val="0034126A"/>
    <w:rPr>
      <w:rFonts w:ascii="Arial" w:eastAsiaTheme="majorEastAsia" w:hAnsi="Arial" w:cstheme="majorBidi"/>
      <w:b/>
      <w:szCs w:val="32"/>
      <w:lang w:eastAsia="es-CO"/>
    </w:rPr>
  </w:style>
  <w:style w:type="character" w:customStyle="1" w:styleId="Ttulo2Car">
    <w:name w:val="Título 2 Car"/>
    <w:basedOn w:val="Fuentedeprrafopredeter"/>
    <w:link w:val="Ttulo2"/>
    <w:uiPriority w:val="9"/>
    <w:rsid w:val="0034126A"/>
    <w:rPr>
      <w:rFonts w:ascii="Arial" w:eastAsiaTheme="majorEastAsia" w:hAnsi="Arial" w:cstheme="majorBidi"/>
      <w:b/>
      <w:szCs w:val="2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6DC313A8-C670-4950-98CB-E004B84AC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Ingrid Nathaly Rangel Muñoz</cp:lastModifiedBy>
  <cp:revision>8</cp:revision>
  <cp:lastPrinted>2015-10-30T13:17:00Z</cp:lastPrinted>
  <dcterms:created xsi:type="dcterms:W3CDTF">2015-10-30T13:16:00Z</dcterms:created>
  <dcterms:modified xsi:type="dcterms:W3CDTF">2018-08-15T22:07:00Z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