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369" w:rsidRDefault="00EE0369" w:rsidP="00EE0369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SISTEMA DE MEDICIÓN BIOELECTROQUIMICA DE UN BIOMICROSISTEMA BASADO EN ANTICUERPOS</w:t>
      </w:r>
    </w:p>
    <w:p w:rsidR="003557A9" w:rsidRPr="003557A9" w:rsidRDefault="003557A9" w:rsidP="00EE0369">
      <w:pPr>
        <w:jc w:val="center"/>
        <w:rPr>
          <w:rFonts w:cs="Arial"/>
          <w:b/>
          <w:i/>
          <w:sz w:val="28"/>
        </w:rPr>
      </w:pPr>
      <w:r w:rsidRPr="003557A9">
        <w:rPr>
          <w:rFonts w:cs="Arial"/>
          <w:b/>
          <w:i/>
          <w:sz w:val="28"/>
        </w:rPr>
        <w:t>Versión 0.1</w:t>
      </w:r>
    </w:p>
    <w:p w:rsidR="00EE0369" w:rsidRPr="003557A9" w:rsidRDefault="00EE0369" w:rsidP="003557A9">
      <w:pPr>
        <w:pStyle w:val="Ttulo1"/>
        <w:numPr>
          <w:ilvl w:val="0"/>
          <w:numId w:val="9"/>
        </w:numPr>
      </w:pPr>
      <w:r w:rsidRPr="003557A9">
        <w:t>OBJETIVO</w:t>
      </w:r>
    </w:p>
    <w:p w:rsidR="00EE0369" w:rsidRPr="003557A9" w:rsidRDefault="003557A9" w:rsidP="003557A9">
      <w:r>
        <w:t>M</w:t>
      </w:r>
      <w:r w:rsidR="00EE0369">
        <w:t>ostrar el procedimiento a seguir para llevar a cabo la preparación, inmovilización de reactivos y prueba de concepto a partir de diferentes sustancias, los cuales se encuentran en el laboratorio sala limpia del departamento de Ingeniería Eléctrica y Electrónica.</w:t>
      </w:r>
    </w:p>
    <w:p w:rsidR="00EE0369" w:rsidRDefault="00EE0369" w:rsidP="003557A9">
      <w:pPr>
        <w:pStyle w:val="Ttulo1"/>
        <w:numPr>
          <w:ilvl w:val="0"/>
          <w:numId w:val="9"/>
        </w:numPr>
      </w:pPr>
      <w:r>
        <w:t>ALCANCE</w:t>
      </w:r>
    </w:p>
    <w:p w:rsidR="00A22207" w:rsidRDefault="00EE0369" w:rsidP="003557A9">
      <w:r>
        <w:t>Proveer un p</w:t>
      </w:r>
      <w:r w:rsidRPr="00EE71B0">
        <w:t>rotoc</w:t>
      </w:r>
      <w:r w:rsidR="00A33B78">
        <w:t xml:space="preserve">olo para la comunidad uniandina </w:t>
      </w:r>
      <w:r>
        <w:t>con el objetivo de realizar</w:t>
      </w:r>
      <w:r w:rsidR="00A33B78">
        <w:t xml:space="preserve"> la preparación de diferentes sustancias que se emplearán en el biomicrosistema.</w:t>
      </w:r>
    </w:p>
    <w:p w:rsidR="003557A9" w:rsidRPr="003557A9" w:rsidRDefault="00A33B78" w:rsidP="003557A9">
      <w:pPr>
        <w:pStyle w:val="Ttulo1"/>
        <w:numPr>
          <w:ilvl w:val="0"/>
          <w:numId w:val="9"/>
        </w:numPr>
      </w:pPr>
      <w:r>
        <w:t xml:space="preserve">PREPARACIÓN </w:t>
      </w:r>
      <w:r w:rsidR="00A22207">
        <w:t>DE SUSTANCIAS</w:t>
      </w:r>
    </w:p>
    <w:p w:rsidR="00A22207" w:rsidRPr="003557A9" w:rsidRDefault="003557A9" w:rsidP="003557A9">
      <w:pPr>
        <w:pStyle w:val="Ttulo2"/>
        <w:numPr>
          <w:ilvl w:val="1"/>
          <w:numId w:val="9"/>
        </w:numPr>
      </w:pPr>
      <w:r w:rsidRPr="003557A9">
        <w:t>PREPARACIÓN DE SOLUCIÓN DE TIOLES</w:t>
      </w:r>
    </w:p>
    <w:p w:rsidR="00A22207" w:rsidRPr="003557A9" w:rsidRDefault="00A22207" w:rsidP="003557A9">
      <w:pPr>
        <w:pStyle w:val="Prrafodelista"/>
        <w:numPr>
          <w:ilvl w:val="0"/>
          <w:numId w:val="8"/>
        </w:numPr>
        <w:rPr>
          <w:b/>
        </w:rPr>
      </w:pPr>
      <w:r w:rsidRPr="003557A9">
        <w:rPr>
          <w:shd w:val="clear" w:color="auto" w:fill="FFFFFF"/>
        </w:rPr>
        <w:t>Pesar 0.0245 g de 4-aminotiofenol.</w:t>
      </w:r>
    </w:p>
    <w:p w:rsidR="00A22207" w:rsidRPr="003557A9" w:rsidRDefault="00A22207" w:rsidP="003557A9">
      <w:pPr>
        <w:pStyle w:val="Prrafodelista"/>
        <w:numPr>
          <w:ilvl w:val="0"/>
          <w:numId w:val="8"/>
        </w:numPr>
        <w:rPr>
          <w:b/>
        </w:rPr>
      </w:pPr>
      <w:r w:rsidRPr="003557A9">
        <w:rPr>
          <w:shd w:val="clear" w:color="auto" w:fill="FFFFFF"/>
        </w:rPr>
        <w:t xml:space="preserve">Disolver 0.0245 g de 4-aminotiofenol en 9.8 mL de etanol para obtener una concentración de 4-aminotiofenol 20 </w:t>
      </w:r>
      <w:proofErr w:type="spellStart"/>
      <w:r w:rsidRPr="003557A9">
        <w:rPr>
          <w:shd w:val="clear" w:color="auto" w:fill="FFFFFF"/>
        </w:rPr>
        <w:t>mM</w:t>
      </w:r>
      <w:proofErr w:type="spellEnd"/>
    </w:p>
    <w:p w:rsidR="00A22207" w:rsidRPr="003557A9" w:rsidRDefault="003557A9" w:rsidP="003557A9">
      <w:pPr>
        <w:pStyle w:val="Ttulo1"/>
        <w:numPr>
          <w:ilvl w:val="0"/>
          <w:numId w:val="9"/>
        </w:numPr>
        <w:rPr>
          <w:shd w:val="clear" w:color="auto" w:fill="FFFFFF"/>
        </w:rPr>
      </w:pPr>
      <w:r w:rsidRPr="00B24A8B">
        <w:rPr>
          <w:shd w:val="clear" w:color="auto" w:fill="FFFFFF"/>
        </w:rPr>
        <w:t>INMOVILIZACIÓN DE ANTICUERPOS SOBRE TIOLES DE ORO</w:t>
      </w:r>
    </w:p>
    <w:p w:rsidR="003557A9" w:rsidRDefault="00122263" w:rsidP="003557A9">
      <w:pPr>
        <w:pStyle w:val="Prrafodelista"/>
        <w:numPr>
          <w:ilvl w:val="0"/>
          <w:numId w:val="10"/>
        </w:numPr>
      </w:pPr>
      <w:r w:rsidRPr="003557A9">
        <w:rPr>
          <w:shd w:val="clear" w:color="auto" w:fill="FFFFFF"/>
        </w:rPr>
        <w:t xml:space="preserve">Colocar 10 μl </w:t>
      </w:r>
      <w:r w:rsidR="00A22207" w:rsidRPr="003557A9">
        <w:t>en los orificios de</w:t>
      </w:r>
      <w:r w:rsidRPr="003557A9">
        <w:t>l</w:t>
      </w:r>
      <w:r w:rsidR="00A22207" w:rsidRPr="003557A9">
        <w:t xml:space="preserve"> microsistema fluídico estático </w:t>
      </w:r>
      <w:r w:rsidRPr="003557A9">
        <w:rPr>
          <w:shd w:val="clear" w:color="auto" w:fill="FFFFFF"/>
        </w:rPr>
        <w:t xml:space="preserve">de </w:t>
      </w:r>
      <w:r w:rsidRPr="003557A9">
        <w:t>la solución de tioles</w:t>
      </w:r>
    </w:p>
    <w:p w:rsidR="00A22207" w:rsidRPr="003557A9" w:rsidRDefault="006337C5" w:rsidP="003557A9">
      <w:pPr>
        <w:pStyle w:val="Prrafodelista"/>
        <w:numPr>
          <w:ilvl w:val="0"/>
          <w:numId w:val="10"/>
        </w:numPr>
      </w:pPr>
      <w:r w:rsidRPr="003557A9">
        <w:t xml:space="preserve">Esperar 4 horas para que reaccione el tiol con el oro a temperatura ambiente </w:t>
      </w:r>
      <w:r w:rsidR="00A22207" w:rsidRPr="003557A9">
        <w:t>mientras se forma la capa auto-ensamblada</w:t>
      </w:r>
      <w:r w:rsidRPr="003557A9">
        <w:t>.</w:t>
      </w:r>
    </w:p>
    <w:p w:rsidR="00A22207" w:rsidRPr="00122263" w:rsidRDefault="00A22207" w:rsidP="003557A9">
      <w:pPr>
        <w:pStyle w:val="Prrafodelista"/>
        <w:numPr>
          <w:ilvl w:val="0"/>
          <w:numId w:val="10"/>
        </w:numPr>
      </w:pPr>
      <w:r w:rsidRPr="00122263">
        <w:t xml:space="preserve">Retirar la solución de tioles de los orificios del microsistema </w:t>
      </w:r>
      <w:r w:rsidR="006337C5">
        <w:t>por medio de la</w:t>
      </w:r>
      <w:r w:rsidRPr="00122263">
        <w:t xml:space="preserve"> succión con una micropipeta</w:t>
      </w:r>
      <w:r w:rsidR="006337C5">
        <w:t>.</w:t>
      </w:r>
    </w:p>
    <w:p w:rsidR="00A22207" w:rsidRPr="00122263" w:rsidRDefault="00A22207" w:rsidP="003557A9">
      <w:pPr>
        <w:pStyle w:val="Prrafodelista"/>
        <w:numPr>
          <w:ilvl w:val="0"/>
          <w:numId w:val="10"/>
        </w:numPr>
      </w:pPr>
      <w:r w:rsidRPr="00122263">
        <w:t>Lavar el sustrato con etanol para remover los tioles que no se adhirieron al oro</w:t>
      </w:r>
      <w:r w:rsidR="006337C5">
        <w:t>.</w:t>
      </w:r>
    </w:p>
    <w:p w:rsidR="00A22207" w:rsidRPr="00122263" w:rsidRDefault="00B24A8B" w:rsidP="003557A9">
      <w:pPr>
        <w:pStyle w:val="Prrafodelista"/>
        <w:numPr>
          <w:ilvl w:val="0"/>
          <w:numId w:val="10"/>
        </w:numPr>
      </w:pPr>
      <w:r>
        <w:t xml:space="preserve">Lavar </w:t>
      </w:r>
      <w:r w:rsidR="00A22207" w:rsidRPr="00122263">
        <w:t>el sustrato con agua para no desnaturalizar las proteínas del anticuerpo en su inmovilización</w:t>
      </w:r>
      <w:r w:rsidR="006337C5">
        <w:t>.</w:t>
      </w:r>
    </w:p>
    <w:p w:rsidR="00A22207" w:rsidRPr="00122263" w:rsidRDefault="00A22207" w:rsidP="003557A9">
      <w:pPr>
        <w:pStyle w:val="Prrafodelista"/>
        <w:numPr>
          <w:ilvl w:val="0"/>
          <w:numId w:val="10"/>
        </w:numPr>
      </w:pPr>
      <w:r w:rsidRPr="00122263">
        <w:lastRenderedPageBreak/>
        <w:t>Dejar secar las muestras</w:t>
      </w:r>
      <w:r w:rsidR="00B24A8B">
        <w:t>.</w:t>
      </w:r>
      <w:bookmarkStart w:id="0" w:name="_GoBack"/>
      <w:bookmarkEnd w:id="0"/>
    </w:p>
    <w:p w:rsidR="00A22207" w:rsidRPr="00122263" w:rsidRDefault="00A22207" w:rsidP="003557A9">
      <w:pPr>
        <w:pStyle w:val="Prrafodelista"/>
        <w:numPr>
          <w:ilvl w:val="0"/>
          <w:numId w:val="10"/>
        </w:numPr>
      </w:pPr>
      <w:r w:rsidRPr="00122263">
        <w:t>Verter la concentración de anticuerpos sobre el electrodo previamente modificado con tioles</w:t>
      </w:r>
      <w:r w:rsidR="00B24A8B">
        <w:t>.</w:t>
      </w:r>
    </w:p>
    <w:p w:rsidR="00A22207" w:rsidRPr="00122263" w:rsidRDefault="00A22207" w:rsidP="003557A9">
      <w:pPr>
        <w:pStyle w:val="Prrafodelista"/>
        <w:numPr>
          <w:ilvl w:val="0"/>
          <w:numId w:val="10"/>
        </w:numPr>
      </w:pPr>
      <w:r w:rsidRPr="00122263">
        <w:t>Verter la solución a concentración de 100</w:t>
      </w:r>
      <w:r w:rsidRPr="003557A9">
        <w:rPr>
          <w:rStyle w:val="apple-converted-space"/>
          <w:rFonts w:cs="Arial"/>
          <w:color w:val="000000"/>
        </w:rPr>
        <w:t> </w:t>
      </w:r>
      <w:r w:rsidR="00B24A8B">
        <w:t>μ</w:t>
      </w:r>
      <w:r w:rsidRPr="00122263">
        <w:t xml:space="preserve">g/mL de anticuerpos en los orificios del </w:t>
      </w:r>
      <w:r w:rsidR="00B24A8B">
        <w:t xml:space="preserve">microsistema </w:t>
      </w:r>
      <w:proofErr w:type="spellStart"/>
      <w:r w:rsidR="00B24A8B">
        <w:t>fluídico</w:t>
      </w:r>
      <w:proofErr w:type="spellEnd"/>
      <w:r w:rsidR="00B24A8B">
        <w:t xml:space="preserve"> estático.</w:t>
      </w:r>
    </w:p>
    <w:p w:rsidR="00B0040B" w:rsidRDefault="00A22207" w:rsidP="003557A9">
      <w:pPr>
        <w:pStyle w:val="Prrafodelista"/>
        <w:numPr>
          <w:ilvl w:val="0"/>
          <w:numId w:val="10"/>
        </w:numPr>
      </w:pPr>
      <w:r w:rsidRPr="00122263">
        <w:t>Incubar las muestras a ON a 4°C</w:t>
      </w:r>
      <w:r w:rsidR="00B24A8B">
        <w:t>.</w:t>
      </w:r>
    </w:p>
    <w:p w:rsidR="00A22207" w:rsidRPr="00B0040B" w:rsidRDefault="00A22207" w:rsidP="003557A9">
      <w:pPr>
        <w:pStyle w:val="Prrafodelista"/>
        <w:numPr>
          <w:ilvl w:val="0"/>
          <w:numId w:val="10"/>
        </w:numPr>
      </w:pPr>
      <w:r w:rsidRPr="00B0040B">
        <w:t>Retirar la solución de anticuerpos de los orificios del microsistema mediante s</w:t>
      </w:r>
      <w:r w:rsidR="00B24A8B">
        <w:t>ucción con una micropipeta.</w:t>
      </w:r>
    </w:p>
    <w:p w:rsidR="00B24A8B" w:rsidRPr="003557A9" w:rsidRDefault="00A22207" w:rsidP="003557A9">
      <w:pPr>
        <w:pStyle w:val="Prrafodelista"/>
        <w:numPr>
          <w:ilvl w:val="0"/>
          <w:numId w:val="10"/>
        </w:numPr>
      </w:pPr>
      <w:r w:rsidRPr="00122263">
        <w:t>Eliminar los anticuerpos en exceso que no reaccionaron con los tioles por lavado con PBS (pH 7,2) y agua</w:t>
      </w:r>
      <w:r w:rsidR="00B24A8B">
        <w:t>.</w:t>
      </w:r>
    </w:p>
    <w:p w:rsidR="00B24A8B" w:rsidRPr="003557A9" w:rsidRDefault="00B24A8B" w:rsidP="003557A9">
      <w:pPr>
        <w:pStyle w:val="Prrafodelista"/>
        <w:numPr>
          <w:ilvl w:val="0"/>
          <w:numId w:val="10"/>
        </w:numPr>
      </w:pPr>
      <w:r>
        <w:t>Almacenar las muestras a 4°C.</w:t>
      </w:r>
    </w:p>
    <w:p w:rsidR="00B24A8B" w:rsidRPr="003557A9" w:rsidRDefault="003557A9" w:rsidP="003557A9">
      <w:pPr>
        <w:pStyle w:val="Ttulo1"/>
        <w:numPr>
          <w:ilvl w:val="0"/>
          <w:numId w:val="9"/>
        </w:numPr>
      </w:pPr>
      <w:r w:rsidRPr="003557A9">
        <w:t xml:space="preserve">PRUEBA DE CONCEPTO CON PROTEÍNAS </w:t>
      </w:r>
    </w:p>
    <w:p w:rsidR="00E715F9" w:rsidRPr="00E715F9" w:rsidRDefault="00E715F9" w:rsidP="003557A9">
      <w:pPr>
        <w:pStyle w:val="Prrafodelista"/>
        <w:numPr>
          <w:ilvl w:val="0"/>
          <w:numId w:val="12"/>
        </w:numPr>
      </w:pPr>
      <w:r w:rsidRPr="00E715F9">
        <w:t>Colocar la solución con concentración de 5 ng/ mL de proteína en los orificios del microsistema fluídico estático.</w:t>
      </w:r>
    </w:p>
    <w:p w:rsidR="00E715F9" w:rsidRPr="00E715F9" w:rsidRDefault="00E715F9" w:rsidP="003557A9">
      <w:pPr>
        <w:pStyle w:val="Prrafodelista"/>
        <w:numPr>
          <w:ilvl w:val="0"/>
          <w:numId w:val="12"/>
        </w:numPr>
      </w:pPr>
      <w:r w:rsidRPr="00E715F9">
        <w:t xml:space="preserve">Esperar una hora para que la proteína reaccione con el anticuerpo a temperatura ambiente mientras se forma el complejo antígeno- anticuerpo. </w:t>
      </w:r>
    </w:p>
    <w:p w:rsidR="003557A9" w:rsidRPr="003557A9" w:rsidRDefault="00E715F9" w:rsidP="003557A9">
      <w:pPr>
        <w:pStyle w:val="Prrafodelista"/>
        <w:numPr>
          <w:ilvl w:val="0"/>
          <w:numId w:val="12"/>
        </w:numPr>
      </w:pPr>
      <w:r w:rsidRPr="003557A9">
        <w:rPr>
          <w:shd w:val="clear" w:color="auto" w:fill="FFFFFF"/>
        </w:rPr>
        <w:t>Lavar el sustrato con PBS para remover las proteínas que no fueron reconocidas por los anticuerpos.</w:t>
      </w:r>
    </w:p>
    <w:p w:rsidR="003557A9" w:rsidRPr="003557A9" w:rsidRDefault="003557A9" w:rsidP="003557A9">
      <w:pPr>
        <w:ind w:left="360"/>
      </w:pPr>
    </w:p>
    <w:p w:rsidR="00E715F9" w:rsidRPr="003557A9" w:rsidRDefault="00E715F9" w:rsidP="003557A9">
      <w:pPr>
        <w:pStyle w:val="Ttulo1"/>
        <w:numPr>
          <w:ilvl w:val="0"/>
          <w:numId w:val="9"/>
        </w:numPr>
      </w:pPr>
      <w:r w:rsidRPr="00E715F9">
        <w:t>CONTROL DE CAMBIOS</w:t>
      </w:r>
    </w:p>
    <w:tbl>
      <w:tblPr>
        <w:tblStyle w:val="Tablaconcuadrcula"/>
        <w:tblW w:w="9518" w:type="dxa"/>
        <w:jc w:val="center"/>
        <w:tblLook w:val="04A0" w:firstRow="1" w:lastRow="0" w:firstColumn="1" w:lastColumn="0" w:noHBand="0" w:noVBand="1"/>
      </w:tblPr>
      <w:tblGrid>
        <w:gridCol w:w="4241"/>
        <w:gridCol w:w="1364"/>
        <w:gridCol w:w="1207"/>
        <w:gridCol w:w="2706"/>
      </w:tblGrid>
      <w:tr w:rsidR="00E715F9" w:rsidRPr="000F313A" w:rsidTr="003557A9">
        <w:trPr>
          <w:trHeight w:val="315"/>
          <w:jc w:val="center"/>
        </w:trPr>
        <w:tc>
          <w:tcPr>
            <w:tcW w:w="4241" w:type="dxa"/>
            <w:shd w:val="clear" w:color="auto" w:fill="BFBFBF" w:themeFill="background1" w:themeFillShade="BF"/>
            <w:vAlign w:val="center"/>
          </w:tcPr>
          <w:p w:rsidR="00E715F9" w:rsidRPr="000F313A" w:rsidRDefault="00E715F9" w:rsidP="00930522">
            <w:pPr>
              <w:jc w:val="center"/>
              <w:rPr>
                <w:b/>
              </w:rPr>
            </w:pPr>
            <w:r w:rsidRPr="000F313A">
              <w:rPr>
                <w:b/>
              </w:rPr>
              <w:t>DESCRIPCIÓN DEL CAMBIO</w:t>
            </w:r>
          </w:p>
        </w:tc>
        <w:tc>
          <w:tcPr>
            <w:tcW w:w="1364" w:type="dxa"/>
            <w:shd w:val="clear" w:color="auto" w:fill="BFBFBF" w:themeFill="background1" w:themeFillShade="BF"/>
            <w:vAlign w:val="center"/>
          </w:tcPr>
          <w:p w:rsidR="00E715F9" w:rsidRPr="000F313A" w:rsidRDefault="00E715F9" w:rsidP="00930522">
            <w:pPr>
              <w:ind w:left="218" w:hanging="218"/>
              <w:jc w:val="center"/>
              <w:rPr>
                <w:b/>
              </w:rPr>
            </w:pPr>
            <w:r w:rsidRPr="000F313A">
              <w:rPr>
                <w:b/>
              </w:rPr>
              <w:t>FECHA</w:t>
            </w:r>
          </w:p>
        </w:tc>
        <w:tc>
          <w:tcPr>
            <w:tcW w:w="1207" w:type="dxa"/>
            <w:shd w:val="clear" w:color="auto" w:fill="BFBFBF" w:themeFill="background1" w:themeFillShade="BF"/>
            <w:vAlign w:val="center"/>
          </w:tcPr>
          <w:p w:rsidR="00E715F9" w:rsidRPr="000F313A" w:rsidRDefault="00E715F9" w:rsidP="00930522">
            <w:pPr>
              <w:jc w:val="center"/>
              <w:rPr>
                <w:b/>
              </w:rPr>
            </w:pPr>
            <w:r w:rsidRPr="000F313A">
              <w:rPr>
                <w:b/>
              </w:rPr>
              <w:t>VERSIÓN</w:t>
            </w:r>
          </w:p>
        </w:tc>
        <w:tc>
          <w:tcPr>
            <w:tcW w:w="2706" w:type="dxa"/>
            <w:shd w:val="clear" w:color="auto" w:fill="BFBFBF" w:themeFill="background1" w:themeFillShade="BF"/>
            <w:vAlign w:val="center"/>
          </w:tcPr>
          <w:p w:rsidR="00E715F9" w:rsidRPr="000F313A" w:rsidRDefault="00E715F9" w:rsidP="00930522">
            <w:pPr>
              <w:jc w:val="center"/>
              <w:rPr>
                <w:b/>
              </w:rPr>
            </w:pPr>
            <w:r w:rsidRPr="000F313A">
              <w:rPr>
                <w:b/>
              </w:rPr>
              <w:t>APROBADO POR</w:t>
            </w:r>
          </w:p>
        </w:tc>
      </w:tr>
      <w:tr w:rsidR="00E715F9" w:rsidRPr="000F313A" w:rsidTr="003557A9">
        <w:trPr>
          <w:trHeight w:val="605"/>
          <w:jc w:val="center"/>
        </w:trPr>
        <w:tc>
          <w:tcPr>
            <w:tcW w:w="4241" w:type="dxa"/>
          </w:tcPr>
          <w:p w:rsidR="00E715F9" w:rsidRPr="000F313A" w:rsidRDefault="00E715F9" w:rsidP="00930522"/>
        </w:tc>
        <w:tc>
          <w:tcPr>
            <w:tcW w:w="1364" w:type="dxa"/>
          </w:tcPr>
          <w:p w:rsidR="00E715F9" w:rsidRPr="000F313A" w:rsidRDefault="00E715F9" w:rsidP="00930522">
            <w:pPr>
              <w:jc w:val="center"/>
            </w:pPr>
          </w:p>
        </w:tc>
        <w:tc>
          <w:tcPr>
            <w:tcW w:w="1207" w:type="dxa"/>
          </w:tcPr>
          <w:p w:rsidR="00E715F9" w:rsidRPr="000F313A" w:rsidRDefault="00E715F9" w:rsidP="00930522">
            <w:pPr>
              <w:jc w:val="center"/>
            </w:pPr>
          </w:p>
        </w:tc>
        <w:tc>
          <w:tcPr>
            <w:tcW w:w="2706" w:type="dxa"/>
          </w:tcPr>
          <w:p w:rsidR="00E715F9" w:rsidRPr="000F313A" w:rsidRDefault="00E715F9" w:rsidP="00930522">
            <w:pPr>
              <w:jc w:val="center"/>
            </w:pPr>
          </w:p>
        </w:tc>
      </w:tr>
    </w:tbl>
    <w:p w:rsidR="00A47637" w:rsidRPr="00122263" w:rsidRDefault="006337C5" w:rsidP="00122263">
      <w:pPr>
        <w:rPr>
          <w:rFonts w:cs="Arial"/>
        </w:rPr>
      </w:pPr>
      <w:r>
        <w:rPr>
          <w:rFonts w:cs="Arial"/>
        </w:rPr>
        <w:t xml:space="preserve"> </w:t>
      </w:r>
    </w:p>
    <w:sectPr w:rsidR="00A47637" w:rsidRPr="00122263" w:rsidSect="003557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B7E" w:rsidRDefault="002A7B7E" w:rsidP="00EE0369">
      <w:pPr>
        <w:spacing w:after="0" w:line="240" w:lineRule="auto"/>
      </w:pPr>
      <w:r>
        <w:separator/>
      </w:r>
    </w:p>
  </w:endnote>
  <w:endnote w:type="continuationSeparator" w:id="0">
    <w:p w:rsidR="002A7B7E" w:rsidRDefault="002A7B7E" w:rsidP="00EE0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D9E" w:rsidRDefault="00D64D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9180" w:type="dxa"/>
      <w:jc w:val="center"/>
      <w:tblLook w:val="04A0" w:firstRow="1" w:lastRow="0" w:firstColumn="1" w:lastColumn="0" w:noHBand="0" w:noVBand="1"/>
    </w:tblPr>
    <w:tblGrid>
      <w:gridCol w:w="3060"/>
      <w:gridCol w:w="3060"/>
      <w:gridCol w:w="3060"/>
    </w:tblGrid>
    <w:tr w:rsidR="003557A9" w:rsidRPr="003557A9" w:rsidTr="00D356F0">
      <w:trPr>
        <w:jc w:val="center"/>
      </w:trPr>
      <w:tc>
        <w:tcPr>
          <w:tcW w:w="3060" w:type="dxa"/>
          <w:shd w:val="clear" w:color="auto" w:fill="auto"/>
          <w:tcMar>
            <w:left w:w="108" w:type="dxa"/>
          </w:tcMar>
        </w:tcPr>
        <w:p w:rsidR="003557A9" w:rsidRPr="003557A9" w:rsidRDefault="003557A9" w:rsidP="003557A9">
          <w:pPr>
            <w:tabs>
              <w:tab w:val="center" w:pos="4419"/>
              <w:tab w:val="right" w:pos="8838"/>
            </w:tabs>
            <w:suppressAutoHyphens/>
            <w:spacing w:after="0"/>
            <w:jc w:val="center"/>
            <w:rPr>
              <w:rFonts w:eastAsia="Arial" w:cs="Arial"/>
              <w:b/>
              <w:color w:val="000000"/>
              <w:sz w:val="8"/>
              <w:szCs w:val="8"/>
              <w:lang w:eastAsia="es-CO"/>
            </w:rPr>
          </w:pPr>
          <w:bookmarkStart w:id="1" w:name="_Hlk521937424"/>
          <w:bookmarkStart w:id="2" w:name="_Hlk521937425"/>
          <w:bookmarkStart w:id="3" w:name="_Hlk521937426"/>
          <w:bookmarkStart w:id="4" w:name="_Hlk521937427"/>
          <w:bookmarkStart w:id="5" w:name="_Hlk521946241"/>
          <w:bookmarkStart w:id="6" w:name="_Hlk521946242"/>
          <w:bookmarkStart w:id="7" w:name="_Hlk521946244"/>
          <w:bookmarkStart w:id="8" w:name="_Hlk521946245"/>
        </w:p>
        <w:p w:rsidR="003557A9" w:rsidRPr="003557A9" w:rsidRDefault="003557A9" w:rsidP="003557A9">
          <w:pPr>
            <w:tabs>
              <w:tab w:val="center" w:pos="4419"/>
              <w:tab w:val="right" w:pos="8838"/>
            </w:tabs>
            <w:suppressAutoHyphens/>
            <w:spacing w:after="0"/>
            <w:jc w:val="center"/>
            <w:rPr>
              <w:rFonts w:eastAsia="Arial" w:cs="Arial"/>
              <w:b/>
              <w:color w:val="000000"/>
              <w:sz w:val="18"/>
              <w:szCs w:val="18"/>
              <w:lang w:eastAsia="es-CO"/>
            </w:rPr>
          </w:pPr>
          <w:r w:rsidRPr="003557A9">
            <w:rPr>
              <w:rFonts w:eastAsia="Arial" w:cs="Arial"/>
              <w:b/>
              <w:color w:val="000000"/>
              <w:sz w:val="18"/>
              <w:szCs w:val="18"/>
              <w:lang w:eastAsia="es-CO"/>
            </w:rPr>
            <w:t>ELABORADO POR:</w:t>
          </w:r>
        </w:p>
        <w:p w:rsidR="003557A9" w:rsidRPr="003557A9" w:rsidRDefault="003557A9" w:rsidP="003557A9">
          <w:pPr>
            <w:tabs>
              <w:tab w:val="center" w:pos="4419"/>
              <w:tab w:val="right" w:pos="8838"/>
            </w:tabs>
            <w:suppressAutoHyphens/>
            <w:spacing w:after="0"/>
            <w:jc w:val="center"/>
            <w:rPr>
              <w:rFonts w:eastAsia="Arial" w:cs="Arial"/>
              <w:color w:val="000000"/>
              <w:sz w:val="18"/>
              <w:szCs w:val="18"/>
              <w:lang w:eastAsia="es-CO"/>
            </w:rPr>
          </w:pPr>
        </w:p>
      </w:tc>
      <w:tc>
        <w:tcPr>
          <w:tcW w:w="3060" w:type="dxa"/>
          <w:shd w:val="clear" w:color="auto" w:fill="auto"/>
          <w:tcMar>
            <w:left w:w="108" w:type="dxa"/>
          </w:tcMar>
        </w:tcPr>
        <w:p w:rsidR="003557A9" w:rsidRPr="003557A9" w:rsidRDefault="003557A9" w:rsidP="003557A9">
          <w:pPr>
            <w:tabs>
              <w:tab w:val="center" w:pos="4419"/>
              <w:tab w:val="right" w:pos="8838"/>
            </w:tabs>
            <w:suppressAutoHyphens/>
            <w:spacing w:after="0"/>
            <w:jc w:val="center"/>
            <w:rPr>
              <w:rFonts w:eastAsia="Arial" w:cs="Arial"/>
              <w:b/>
              <w:color w:val="000000"/>
              <w:sz w:val="8"/>
              <w:szCs w:val="8"/>
              <w:lang w:eastAsia="es-CO"/>
            </w:rPr>
          </w:pPr>
        </w:p>
        <w:p w:rsidR="003557A9" w:rsidRPr="003557A9" w:rsidRDefault="003557A9" w:rsidP="003557A9">
          <w:pPr>
            <w:tabs>
              <w:tab w:val="center" w:pos="4419"/>
              <w:tab w:val="right" w:pos="8838"/>
            </w:tabs>
            <w:suppressAutoHyphens/>
            <w:spacing w:after="0"/>
            <w:jc w:val="center"/>
            <w:rPr>
              <w:rFonts w:eastAsia="Arial" w:cs="Arial"/>
              <w:b/>
              <w:color w:val="000000"/>
              <w:sz w:val="18"/>
              <w:szCs w:val="18"/>
              <w:lang w:eastAsia="es-CO"/>
            </w:rPr>
          </w:pPr>
          <w:r w:rsidRPr="003557A9">
            <w:rPr>
              <w:rFonts w:eastAsia="Arial" w:cs="Arial"/>
              <w:b/>
              <w:color w:val="000000"/>
              <w:sz w:val="18"/>
              <w:szCs w:val="18"/>
              <w:lang w:eastAsia="es-CO"/>
            </w:rPr>
            <w:t>REVISADO POR:</w:t>
          </w:r>
        </w:p>
        <w:p w:rsidR="003557A9" w:rsidRPr="003557A9" w:rsidRDefault="003557A9" w:rsidP="003557A9">
          <w:pPr>
            <w:tabs>
              <w:tab w:val="center" w:pos="4419"/>
              <w:tab w:val="right" w:pos="8838"/>
            </w:tabs>
            <w:suppressAutoHyphens/>
            <w:spacing w:after="0"/>
            <w:jc w:val="center"/>
            <w:rPr>
              <w:rFonts w:eastAsia="Arial" w:cs="Arial"/>
              <w:color w:val="000000"/>
              <w:sz w:val="18"/>
              <w:szCs w:val="18"/>
              <w:lang w:eastAsia="es-CO"/>
            </w:rPr>
          </w:pPr>
          <w:r w:rsidRPr="003557A9">
            <w:rPr>
              <w:rFonts w:eastAsia="Arial" w:cs="Arial"/>
              <w:color w:val="000000"/>
              <w:sz w:val="18"/>
              <w:szCs w:val="18"/>
              <w:lang w:eastAsia="es-CO"/>
            </w:rPr>
            <w:t>N.R.</w:t>
          </w:r>
        </w:p>
      </w:tc>
      <w:tc>
        <w:tcPr>
          <w:tcW w:w="3060" w:type="dxa"/>
          <w:shd w:val="clear" w:color="auto" w:fill="auto"/>
          <w:tcMar>
            <w:left w:w="108" w:type="dxa"/>
          </w:tcMar>
        </w:tcPr>
        <w:p w:rsidR="003557A9" w:rsidRPr="003557A9" w:rsidRDefault="003557A9" w:rsidP="003557A9">
          <w:pPr>
            <w:tabs>
              <w:tab w:val="center" w:pos="4419"/>
              <w:tab w:val="right" w:pos="8838"/>
            </w:tabs>
            <w:suppressAutoHyphens/>
            <w:spacing w:after="0"/>
            <w:jc w:val="center"/>
            <w:rPr>
              <w:rFonts w:eastAsia="Arial" w:cs="Arial"/>
              <w:b/>
              <w:color w:val="000000"/>
              <w:sz w:val="8"/>
              <w:szCs w:val="8"/>
              <w:lang w:eastAsia="es-CO"/>
            </w:rPr>
          </w:pPr>
        </w:p>
        <w:p w:rsidR="003557A9" w:rsidRPr="003557A9" w:rsidRDefault="003557A9" w:rsidP="003557A9">
          <w:pPr>
            <w:tabs>
              <w:tab w:val="center" w:pos="4419"/>
              <w:tab w:val="right" w:pos="8838"/>
            </w:tabs>
            <w:suppressAutoHyphens/>
            <w:spacing w:after="0"/>
            <w:jc w:val="center"/>
            <w:rPr>
              <w:rFonts w:eastAsia="Arial" w:cs="Arial"/>
              <w:color w:val="000000"/>
              <w:sz w:val="18"/>
              <w:szCs w:val="18"/>
              <w:lang w:eastAsia="es-CO"/>
            </w:rPr>
          </w:pPr>
          <w:r w:rsidRPr="003557A9">
            <w:rPr>
              <w:rFonts w:eastAsia="Arial" w:cs="Arial"/>
              <w:b/>
              <w:color w:val="000000"/>
              <w:sz w:val="18"/>
              <w:szCs w:val="18"/>
              <w:lang w:eastAsia="es-CO"/>
            </w:rPr>
            <w:t>APROBADO POR:</w:t>
          </w:r>
        </w:p>
        <w:p w:rsidR="003557A9" w:rsidRPr="003557A9" w:rsidRDefault="003557A9" w:rsidP="003557A9">
          <w:pPr>
            <w:tabs>
              <w:tab w:val="center" w:pos="4419"/>
              <w:tab w:val="right" w:pos="8838"/>
            </w:tabs>
            <w:suppressAutoHyphens/>
            <w:spacing w:after="0"/>
            <w:jc w:val="center"/>
            <w:rPr>
              <w:rFonts w:eastAsia="Arial" w:cs="Arial"/>
              <w:color w:val="000000"/>
              <w:sz w:val="18"/>
              <w:szCs w:val="18"/>
              <w:lang w:eastAsia="es-CO"/>
            </w:rPr>
          </w:pPr>
          <w:bookmarkStart w:id="9" w:name="OLE_LINK1"/>
          <w:r w:rsidRPr="003557A9">
            <w:rPr>
              <w:rFonts w:eastAsia="Arial" w:cs="Arial"/>
              <w:color w:val="000000"/>
              <w:sz w:val="18"/>
              <w:szCs w:val="18"/>
              <w:lang w:eastAsia="es-CO"/>
            </w:rPr>
            <w:t>J.F.O.</w:t>
          </w:r>
        </w:p>
      </w:tc>
    </w:tr>
  </w:tbl>
  <w:p w:rsidR="003557A9" w:rsidRPr="003557A9" w:rsidRDefault="003557A9" w:rsidP="003557A9">
    <w:pPr>
      <w:suppressAutoHyphens/>
      <w:spacing w:after="0" w:line="240" w:lineRule="auto"/>
      <w:jc w:val="center"/>
      <w:rPr>
        <w:rFonts w:cs="Arial"/>
        <w:b/>
        <w:bCs/>
        <w:color w:val="000000"/>
        <w:sz w:val="16"/>
        <w:szCs w:val="16"/>
      </w:rPr>
    </w:pPr>
    <w:r w:rsidRPr="003557A9">
      <w:rPr>
        <w:rFonts w:cs="Arial"/>
        <w:i/>
        <w:iCs/>
        <w:color w:val="000000"/>
        <w:sz w:val="16"/>
        <w:szCs w:val="16"/>
      </w:rPr>
      <w:t xml:space="preserve">La información contenida en el presente documento es de carácter </w:t>
    </w:r>
    <w:r w:rsidRPr="003557A9">
      <w:rPr>
        <w:rFonts w:cs="Arial"/>
        <w:b/>
        <w:i/>
        <w:iCs/>
        <w:color w:val="000000"/>
        <w:sz w:val="16"/>
        <w:szCs w:val="16"/>
      </w:rPr>
      <w:t xml:space="preserve">Confidencial </w:t>
    </w:r>
    <w:r w:rsidRPr="003557A9">
      <w:rPr>
        <w:rFonts w:cs="Arial"/>
        <w:i/>
        <w:iCs/>
        <w:color w:val="000000"/>
        <w:sz w:val="16"/>
        <w:szCs w:val="16"/>
      </w:rPr>
      <w:t xml:space="preserve">y de uso exclusivo de </w:t>
    </w:r>
    <w:r w:rsidRPr="003557A9">
      <w:rPr>
        <w:rFonts w:cs="Arial"/>
        <w:b/>
        <w:bCs/>
        <w:color w:val="000000"/>
        <w:sz w:val="16"/>
        <w:szCs w:val="16"/>
      </w:rPr>
      <w:t>La Universidad de</w:t>
    </w:r>
  </w:p>
  <w:p w:rsidR="003557A9" w:rsidRPr="003557A9" w:rsidRDefault="003557A9" w:rsidP="003557A9">
    <w:pPr>
      <w:suppressAutoHyphens/>
      <w:spacing w:after="0" w:line="240" w:lineRule="auto"/>
      <w:jc w:val="center"/>
      <w:rPr>
        <w:rFonts w:eastAsia="Arial" w:cs="Arial"/>
        <w:color w:val="000000"/>
        <w:lang w:eastAsia="es-CO"/>
      </w:rPr>
    </w:pPr>
    <w:r w:rsidRPr="003557A9">
      <w:rPr>
        <w:rFonts w:cs="Arial"/>
        <w:b/>
        <w:bCs/>
        <w:color w:val="000000"/>
        <w:sz w:val="16"/>
        <w:szCs w:val="16"/>
      </w:rPr>
      <w:t>los Andes</w:t>
    </w:r>
    <w:r w:rsidRPr="003557A9">
      <w:rPr>
        <w:rFonts w:cs="Arial"/>
        <w:b/>
        <w:bCs/>
        <w:i/>
        <w:iCs/>
        <w:color w:val="000000"/>
        <w:sz w:val="16"/>
        <w:szCs w:val="16"/>
      </w:rPr>
      <w:t xml:space="preserve">. </w:t>
    </w:r>
    <w:r w:rsidRPr="003557A9">
      <w:rPr>
        <w:rFonts w:cs="Arial"/>
        <w:i/>
        <w:iCs/>
        <w:color w:val="000000"/>
        <w:sz w:val="16"/>
        <w:szCs w:val="16"/>
      </w:rPr>
      <w:t>Las personas que lo reciben son responsables por su seguridad y prevención del uso indebido</w:t>
    </w:r>
    <w:bookmarkEnd w:id="9"/>
    <w:r w:rsidRPr="003557A9">
      <w:rPr>
        <w:rFonts w:cs="Arial"/>
        <w:color w:val="000000"/>
        <w:sz w:val="16"/>
        <w:szCs w:val="16"/>
      </w:rPr>
      <w:t>.</w:t>
    </w:r>
    <w:bookmarkEnd w:id="1"/>
    <w:bookmarkEnd w:id="2"/>
    <w:bookmarkEnd w:id="3"/>
    <w:bookmarkEnd w:id="4"/>
    <w:bookmarkEnd w:id="5"/>
    <w:bookmarkEnd w:id="6"/>
    <w:bookmarkEnd w:id="7"/>
    <w:bookmarkEnd w:id="8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D9E" w:rsidRDefault="00D64D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B7E" w:rsidRDefault="002A7B7E" w:rsidP="00EE0369">
      <w:pPr>
        <w:spacing w:after="0" w:line="240" w:lineRule="auto"/>
      </w:pPr>
      <w:r>
        <w:separator/>
      </w:r>
    </w:p>
  </w:footnote>
  <w:footnote w:type="continuationSeparator" w:id="0">
    <w:p w:rsidR="002A7B7E" w:rsidRDefault="002A7B7E" w:rsidP="00EE0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D9E" w:rsidRDefault="00D64D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180" w:type="dxa"/>
      <w:jc w:val="center"/>
      <w:tblLook w:val="04A0" w:firstRow="1" w:lastRow="0" w:firstColumn="1" w:lastColumn="0" w:noHBand="0" w:noVBand="1"/>
    </w:tblPr>
    <w:tblGrid>
      <w:gridCol w:w="2723"/>
      <w:gridCol w:w="2152"/>
      <w:gridCol w:w="2152"/>
      <w:gridCol w:w="2153"/>
    </w:tblGrid>
    <w:tr w:rsidR="003557A9" w:rsidTr="00D356F0">
      <w:trPr>
        <w:trHeight w:val="253"/>
        <w:jc w:val="center"/>
      </w:trPr>
      <w:tc>
        <w:tcPr>
          <w:tcW w:w="2722" w:type="dxa"/>
          <w:vMerge w:val="restart"/>
          <w:shd w:val="clear" w:color="auto" w:fill="auto"/>
          <w:tcMar>
            <w:left w:w="108" w:type="dxa"/>
          </w:tcMar>
          <w:vAlign w:val="center"/>
        </w:tcPr>
        <w:p w:rsidR="003557A9" w:rsidRDefault="003557A9" w:rsidP="003557A9">
          <w:pPr>
            <w:pStyle w:val="Encabezado"/>
            <w:jc w:val="center"/>
            <w:rPr>
              <w:lang w:val="es-ES"/>
            </w:rPr>
          </w:pPr>
          <w:r>
            <w:rPr>
              <w:noProof/>
              <w:lang w:eastAsia="es-CO"/>
            </w:rPr>
            <w:drawing>
              <wp:inline distT="0" distB="0" distL="0" distR="0" wp14:anchorId="3CC4A013" wp14:editId="5E3DD6A3">
                <wp:extent cx="1337310" cy="514350"/>
                <wp:effectExtent l="0" t="0" r="0" b="0"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38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731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:rsidR="003557A9" w:rsidRDefault="003557A9" w:rsidP="003557A9">
          <w:pPr>
            <w:pStyle w:val="Encabezado"/>
            <w:jc w:val="center"/>
            <w:rPr>
              <w:b/>
            </w:rPr>
          </w:pPr>
          <w:r>
            <w:rPr>
              <w:b/>
            </w:rPr>
            <w:t>Departamento de Ingeniería Eléctrica y Electrónica</w:t>
          </w:r>
        </w:p>
      </w:tc>
    </w:tr>
    <w:tr w:rsidR="003557A9" w:rsidTr="00D356F0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</w:tcPr>
        <w:p w:rsidR="003557A9" w:rsidRDefault="003557A9" w:rsidP="003557A9">
          <w:pPr>
            <w:pStyle w:val="Encabezado"/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:rsidR="003557A9" w:rsidRDefault="003557A9" w:rsidP="003557A9">
          <w:pPr>
            <w:pStyle w:val="Encabezado"/>
            <w:jc w:val="center"/>
            <w:rPr>
              <w:b/>
            </w:rPr>
          </w:pPr>
          <w:r>
            <w:rPr>
              <w:b/>
            </w:rPr>
            <w:t>Laboratorio de Ingeniería Eléctrica y Electrónica</w:t>
          </w:r>
        </w:p>
      </w:tc>
    </w:tr>
    <w:tr w:rsidR="003557A9" w:rsidTr="00D356F0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</w:tcPr>
        <w:p w:rsidR="003557A9" w:rsidRDefault="003557A9" w:rsidP="003557A9">
          <w:pPr>
            <w:pStyle w:val="Encabezado"/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:rsidR="003557A9" w:rsidRDefault="003557A9" w:rsidP="003557A9">
          <w:pPr>
            <w:pStyle w:val="Encabezado"/>
            <w:jc w:val="center"/>
            <w:rPr>
              <w:b/>
            </w:rPr>
          </w:pPr>
          <w:r>
            <w:rPr>
              <w:b/>
            </w:rPr>
            <w:t>Centro de Microelectrónica Universidad de los Andes</w:t>
          </w:r>
        </w:p>
      </w:tc>
    </w:tr>
    <w:tr w:rsidR="003557A9" w:rsidTr="00D356F0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</w:tcPr>
        <w:p w:rsidR="003557A9" w:rsidRDefault="003557A9" w:rsidP="003557A9">
          <w:pPr>
            <w:pStyle w:val="Encabezado"/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:rsidR="003557A9" w:rsidRDefault="003557A9" w:rsidP="003557A9">
          <w:pPr>
            <w:pStyle w:val="Encabezado"/>
            <w:jc w:val="center"/>
            <w:rPr>
              <w:b/>
            </w:rPr>
          </w:pPr>
          <w:r>
            <w:rPr>
              <w:b/>
            </w:rPr>
            <w:t>Línea de Biosensores y Microsistemas</w:t>
          </w:r>
        </w:p>
      </w:tc>
    </w:tr>
    <w:tr w:rsidR="003557A9" w:rsidTr="00D356F0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</w:tcPr>
        <w:p w:rsidR="003557A9" w:rsidRDefault="003557A9" w:rsidP="003557A9">
          <w:pPr>
            <w:pStyle w:val="Encabezado"/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:rsidR="003557A9" w:rsidRDefault="00D64D9E" w:rsidP="003557A9">
          <w:pPr>
            <w:pStyle w:val="Encabezado"/>
            <w:jc w:val="center"/>
            <w:rPr>
              <w:b/>
            </w:rPr>
          </w:pPr>
          <w:r>
            <w:rPr>
              <w:b/>
            </w:rPr>
            <w:t>Protocolo de Uso de Equipos y Técnicas</w:t>
          </w:r>
        </w:p>
      </w:tc>
    </w:tr>
    <w:tr w:rsidR="003557A9" w:rsidTr="00D356F0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</w:tcPr>
        <w:p w:rsidR="003557A9" w:rsidRDefault="003557A9" w:rsidP="003557A9">
          <w:pPr>
            <w:pStyle w:val="Encabezado"/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:rsidR="003557A9" w:rsidRDefault="003557A9" w:rsidP="003557A9">
          <w:pPr>
            <w:pStyle w:val="Encabezado"/>
            <w:jc w:val="center"/>
            <w:rPr>
              <w:b/>
            </w:rPr>
          </w:pPr>
          <w:r w:rsidRPr="003557A9">
            <w:rPr>
              <w:b/>
            </w:rPr>
            <w:t xml:space="preserve">Sistema de medición </w:t>
          </w:r>
          <w:proofErr w:type="spellStart"/>
          <w:r w:rsidRPr="003557A9">
            <w:rPr>
              <w:b/>
            </w:rPr>
            <w:t>bioelectroquimica</w:t>
          </w:r>
          <w:proofErr w:type="spellEnd"/>
          <w:r w:rsidRPr="003557A9">
            <w:rPr>
              <w:b/>
            </w:rPr>
            <w:t xml:space="preserve"> de un </w:t>
          </w:r>
          <w:proofErr w:type="spellStart"/>
          <w:r w:rsidRPr="003557A9">
            <w:rPr>
              <w:b/>
            </w:rPr>
            <w:t>biomicrosistema</w:t>
          </w:r>
          <w:proofErr w:type="spellEnd"/>
          <w:r w:rsidRPr="003557A9">
            <w:rPr>
              <w:b/>
            </w:rPr>
            <w:t xml:space="preserve"> basado en anticuerpos</w:t>
          </w:r>
        </w:p>
      </w:tc>
    </w:tr>
    <w:tr w:rsidR="003557A9" w:rsidTr="00D356F0">
      <w:trPr>
        <w:trHeight w:val="253"/>
        <w:jc w:val="center"/>
      </w:trPr>
      <w:tc>
        <w:tcPr>
          <w:tcW w:w="2722" w:type="dxa"/>
          <w:shd w:val="clear" w:color="auto" w:fill="auto"/>
          <w:tcMar>
            <w:left w:w="108" w:type="dxa"/>
          </w:tcMar>
          <w:vAlign w:val="center"/>
        </w:tcPr>
        <w:p w:rsidR="003557A9" w:rsidRDefault="003557A9" w:rsidP="003557A9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>Fecha: 25 de enero de 2018</w:t>
          </w:r>
        </w:p>
      </w:tc>
      <w:tc>
        <w:tcPr>
          <w:tcW w:w="2152" w:type="dxa"/>
          <w:shd w:val="clear" w:color="auto" w:fill="auto"/>
          <w:tcMar>
            <w:left w:w="108" w:type="dxa"/>
          </w:tcMar>
          <w:vAlign w:val="center"/>
        </w:tcPr>
        <w:p w:rsidR="003557A9" w:rsidRDefault="003557A9" w:rsidP="003557A9">
          <w:pPr>
            <w:pStyle w:val="Encabezad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Código: </w:t>
          </w:r>
          <w:r w:rsidR="00D64D9E">
            <w:rPr>
              <w:sz w:val="16"/>
              <w:szCs w:val="16"/>
            </w:rPr>
            <w:t>PET201801</w:t>
          </w:r>
        </w:p>
      </w:tc>
      <w:tc>
        <w:tcPr>
          <w:tcW w:w="2152" w:type="dxa"/>
          <w:shd w:val="clear" w:color="auto" w:fill="auto"/>
          <w:tcMar>
            <w:left w:w="108" w:type="dxa"/>
          </w:tcMar>
          <w:vAlign w:val="center"/>
        </w:tcPr>
        <w:p w:rsidR="003557A9" w:rsidRDefault="003557A9" w:rsidP="003557A9">
          <w:pPr>
            <w:pStyle w:val="Encabezado"/>
            <w:jc w:val="center"/>
          </w:pPr>
          <w:r>
            <w:rPr>
              <w:sz w:val="16"/>
              <w:szCs w:val="16"/>
            </w:rPr>
            <w:t xml:space="preserve">Página: </w:t>
          </w:r>
          <w:r>
            <w:rPr>
              <w:sz w:val="16"/>
              <w:szCs w:val="16"/>
            </w:rPr>
            <w:fldChar w:fldCharType="begin"/>
          </w:r>
          <w:r>
            <w:instrText>PAGE \* ARABIC</w:instrText>
          </w:r>
          <w:r>
            <w:fldChar w:fldCharType="separate"/>
          </w:r>
          <w:r w:rsidR="00D64D9E">
            <w:rPr>
              <w:noProof/>
            </w:rPr>
            <w:t>2</w:t>
          </w:r>
          <w: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instrText>NUMPAGES \* ARABIC</w:instrText>
          </w:r>
          <w:r>
            <w:fldChar w:fldCharType="separate"/>
          </w:r>
          <w:r w:rsidR="00D64D9E">
            <w:rPr>
              <w:noProof/>
            </w:rPr>
            <w:t>2</w:t>
          </w:r>
          <w:r>
            <w:fldChar w:fldCharType="end"/>
          </w:r>
        </w:p>
      </w:tc>
      <w:tc>
        <w:tcPr>
          <w:tcW w:w="2153" w:type="dxa"/>
          <w:shd w:val="clear" w:color="auto" w:fill="auto"/>
          <w:tcMar>
            <w:left w:w="108" w:type="dxa"/>
          </w:tcMar>
          <w:vAlign w:val="center"/>
        </w:tcPr>
        <w:p w:rsidR="003557A9" w:rsidRDefault="003557A9" w:rsidP="003557A9">
          <w:pPr>
            <w:pStyle w:val="Encabezad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Versión: 1.0</w:t>
          </w:r>
        </w:p>
      </w:tc>
    </w:tr>
  </w:tbl>
  <w:sdt>
    <w:sdtPr>
      <w:id w:val="1387373092"/>
      <w:docPartObj>
        <w:docPartGallery w:val="Watermarks"/>
        <w:docPartUnique/>
      </w:docPartObj>
    </w:sdtPr>
    <w:sdtContent>
      <w:p w:rsidR="00EE0369" w:rsidRDefault="00D64D9E" w:rsidP="003557A9">
        <w:pPr>
          <w:pStyle w:val="Encabezado"/>
          <w:jc w:val="left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7A9" w:rsidRDefault="003557A9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A809516" wp14:editId="71E44ABA">
          <wp:simplePos x="0" y="0"/>
          <wp:positionH relativeFrom="margin">
            <wp:posOffset>1438275</wp:posOffset>
          </wp:positionH>
          <wp:positionV relativeFrom="paragraph">
            <wp:posOffset>27940</wp:posOffset>
          </wp:positionV>
          <wp:extent cx="2465705" cy="771525"/>
          <wp:effectExtent l="0" t="0" r="0" b="9525"/>
          <wp:wrapTopAndBottom/>
          <wp:docPr id="4097" name="0 Imagen" descr="cabezote_logo_uniand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52" t="15115" r="5851" b="15934"/>
                  <a:stretch>
                    <a:fillRect/>
                  </a:stretch>
                </pic:blipFill>
                <pic:spPr>
                  <a:xfrm>
                    <a:off x="0" y="0"/>
                    <a:ext cx="2465705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E04E8CE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09AD691D"/>
    <w:multiLevelType w:val="hybridMultilevel"/>
    <w:tmpl w:val="BF5A81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D74F7"/>
    <w:multiLevelType w:val="hybridMultilevel"/>
    <w:tmpl w:val="CCDEDBEC"/>
    <w:lvl w:ilvl="0" w:tplc="982C4072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497714E"/>
    <w:multiLevelType w:val="hybridMultilevel"/>
    <w:tmpl w:val="5DA61680"/>
    <w:lvl w:ilvl="0" w:tplc="A0EE7C9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97A709C"/>
    <w:multiLevelType w:val="multilevel"/>
    <w:tmpl w:val="9BDCC944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5" w15:restartNumberingAfterBreak="0">
    <w:nsid w:val="2B5F039F"/>
    <w:multiLevelType w:val="hybridMultilevel"/>
    <w:tmpl w:val="CC52FA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E6DC4"/>
    <w:multiLevelType w:val="hybridMultilevel"/>
    <w:tmpl w:val="7E88C9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263E7"/>
    <w:multiLevelType w:val="hybridMultilevel"/>
    <w:tmpl w:val="081A1474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ED112D0"/>
    <w:multiLevelType w:val="hybridMultilevel"/>
    <w:tmpl w:val="CCDEDBEC"/>
    <w:lvl w:ilvl="0" w:tplc="982C4072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633258A"/>
    <w:multiLevelType w:val="multilevel"/>
    <w:tmpl w:val="C5C0F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CFA369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D15D5E"/>
    <w:multiLevelType w:val="hybridMultilevel"/>
    <w:tmpl w:val="435439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69"/>
    <w:rsid w:val="00122263"/>
    <w:rsid w:val="00143E83"/>
    <w:rsid w:val="002A7B7E"/>
    <w:rsid w:val="002B5ADB"/>
    <w:rsid w:val="003557A9"/>
    <w:rsid w:val="004F65E7"/>
    <w:rsid w:val="006337C5"/>
    <w:rsid w:val="008D6FBA"/>
    <w:rsid w:val="009255AA"/>
    <w:rsid w:val="00A22207"/>
    <w:rsid w:val="00A33B78"/>
    <w:rsid w:val="00AD4391"/>
    <w:rsid w:val="00B0040B"/>
    <w:rsid w:val="00B24A8B"/>
    <w:rsid w:val="00BE49A4"/>
    <w:rsid w:val="00CA1136"/>
    <w:rsid w:val="00D64D9E"/>
    <w:rsid w:val="00E715F9"/>
    <w:rsid w:val="00EE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A7BCB7A"/>
  <w15:chartTrackingRefBased/>
  <w15:docId w15:val="{F2E9620E-D1F6-47A8-9996-ACBE3955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7A9"/>
    <w:pPr>
      <w:spacing w:after="120" w:line="360" w:lineRule="auto"/>
      <w:jc w:val="both"/>
    </w:pPr>
    <w:rPr>
      <w:rFonts w:ascii="Arial" w:eastAsia="Calibri" w:hAnsi="Arial" w:cs="SimSun"/>
    </w:rPr>
  </w:style>
  <w:style w:type="paragraph" w:styleId="Ttulo1">
    <w:name w:val="heading 1"/>
    <w:basedOn w:val="Normal"/>
    <w:next w:val="Normal"/>
    <w:link w:val="Ttulo1Car"/>
    <w:uiPriority w:val="9"/>
    <w:qFormat/>
    <w:rsid w:val="003557A9"/>
    <w:pPr>
      <w:spacing w:before="240" w:after="240"/>
      <w:outlineLvl w:val="0"/>
    </w:pPr>
    <w:rPr>
      <w:rFonts w:cs="Arial"/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57A9"/>
    <w:pPr>
      <w:outlineLvl w:val="1"/>
    </w:pPr>
    <w:rPr>
      <w:rFonts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03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EE0369"/>
  </w:style>
  <w:style w:type="paragraph" w:styleId="Piedepgina">
    <w:name w:val="footer"/>
    <w:basedOn w:val="Normal"/>
    <w:link w:val="PiedepginaCar"/>
    <w:uiPriority w:val="99"/>
    <w:unhideWhenUsed/>
    <w:rsid w:val="00EE03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69"/>
  </w:style>
  <w:style w:type="paragraph" w:styleId="Prrafodelista">
    <w:name w:val="List Paragraph"/>
    <w:basedOn w:val="Normal"/>
    <w:uiPriority w:val="34"/>
    <w:qFormat/>
    <w:rsid w:val="00EE036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22207"/>
  </w:style>
  <w:style w:type="paragraph" w:customStyle="1" w:styleId="xmsonormal">
    <w:name w:val="x_msonormal"/>
    <w:basedOn w:val="Normal"/>
    <w:rsid w:val="00A22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22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E71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557A9"/>
    <w:rPr>
      <w:rFonts w:ascii="Arial" w:eastAsia="Calibri" w:hAnsi="Arial" w:cs="Arial"/>
      <w:b/>
    </w:rPr>
  </w:style>
  <w:style w:type="paragraph" w:styleId="Sinespaciado">
    <w:name w:val="No Spacing"/>
    <w:uiPriority w:val="1"/>
    <w:qFormat/>
    <w:rsid w:val="003557A9"/>
    <w:pPr>
      <w:spacing w:after="0" w:line="240" w:lineRule="auto"/>
      <w:jc w:val="both"/>
    </w:pPr>
    <w:rPr>
      <w:rFonts w:ascii="Arial" w:eastAsia="Calibri" w:hAnsi="Arial" w:cs="SimSun"/>
    </w:rPr>
  </w:style>
  <w:style w:type="character" w:customStyle="1" w:styleId="Ttulo2Car">
    <w:name w:val="Título 2 Car"/>
    <w:basedOn w:val="Fuentedeprrafopredeter"/>
    <w:link w:val="Ttulo2"/>
    <w:uiPriority w:val="9"/>
    <w:rsid w:val="003557A9"/>
    <w:rPr>
      <w:rFonts w:ascii="Arial" w:eastAsia="Calibri" w:hAnsi="Arial" w:cs="Arial"/>
      <w:b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55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clavijo</dc:creator>
  <cp:keywords/>
  <dc:description/>
  <cp:lastModifiedBy>Ingrid Nathaly Rangel Muñoz</cp:lastModifiedBy>
  <cp:revision>3</cp:revision>
  <dcterms:created xsi:type="dcterms:W3CDTF">2016-12-18T14:40:00Z</dcterms:created>
  <dcterms:modified xsi:type="dcterms:W3CDTF">2018-08-15T23:38:00Z</dcterms:modified>
</cp:coreProperties>
</file>