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Generic Biondi Subaperture Tomography Protocol</w:t>
      </w:r>
    </w:p>
    <w:p>
      <w:pPr>
        <w:jc w:val="center"/>
      </w:pPr>
      <w:r>
        <w:rPr>
          <w:b/>
        </w:rPr>
        <w:t>Version 1.7   |   20 September 2026</w:t>
      </w:r>
    </w:p>
    <w:p>
      <w:pPr>
        <w:jc w:val="center"/>
      </w:pPr>
      <w:r>
        <w:rPr>
          <w:i/>
        </w:rPr>
        <w:t>Frequency domain pair design and depth focused vector analysis</w:t>
      </w:r>
    </w:p>
    <w:p>
      <w:r>
        <w:t>This protocol defines an acquisition-independent workflow from a complex SAR image to registered vector observables, modal diagnostics, and conditional candidate-depth focus. Version 1.7 replaces dataset-specific sub-aperture profiles with a declared frequency-domain edge-overlap rule. It does not establish physical motion, cavity identity, penetration, or absolute depth.</w:t>
      </w:r>
    </w:p>
    <w:p>
      <w:r>
        <w:t>The fixed processing order is: complex Reference Offset reconstruction; same-pair registration; target and nuisance vectors; nuisance subtraction; modal analysis; declared spatial and window support; depth fitting; and display. Every run must preserve its own acquisition metadata, filter bank, geometry, validation results, and output manifest.</w:t>
      </w:r>
    </w:p>
    <w:p>
      <w:pPr>
        <w:pStyle w:val="Heading1"/>
      </w:pPr>
      <w:r>
        <w:t>1 Scope and version change</w:t>
      </w:r>
    </w:p>
    <w:p>
      <w:r>
        <w:t>Version 1.7 supersedes v1.6 as the generic protocol. Earlier acquisition-specific profiles remain historical reproduction records; they are not defaults. The change is the design of successive frequency-domain R/O pairs: their placement is controlled by a maximum permitted overlap of the successive Offset-edge spans, not by an inherited pair count, window length, or leap in bins.</w:t>
      </w:r>
    </w:p>
    <w:p>
      <w:pPr>
        <w:pStyle w:val="Heading1"/>
      </w:pPr>
      <w:r>
        <w:t>2 Inputs axes and geometry</w:t>
      </w:r>
    </w:p>
    <w:p>
      <w:pPr>
        <w:pStyle w:val="ListBullet"/>
        <w:spacing w:after="60"/>
      </w:pPr>
      <w:r>
        <w:t>Load and hash the complex SLC or SICD image. Read timing, processed spectral support, state vectors, image geometry, radar frequency, and look metadata directly from that acquisition.</w:t>
      </w:r>
    </w:p>
    <w:p>
      <w:pPr>
        <w:pStyle w:val="ListBullet"/>
        <w:spacing w:after="60"/>
      </w:pPr>
      <w:r>
        <w:t>Freeze the native image-coordinate convention. Record every selected location as both named row and column, and save the final rasterized ordered track.</w:t>
      </w:r>
    </w:p>
    <w:p>
      <w:pPr>
        <w:pStyle w:val="ListBullet"/>
        <w:spacing w:after="60"/>
      </w:pPr>
      <w:r>
        <w:t>Verify which image axis is azimuth or Doppler-conjugate before Fourier processing. Do not reuse a Doppler mapping, Kz table, incidence angle, slant range, or pixel-to-ground map from another product.</w:t>
      </w:r>
    </w:p>
    <w:p>
      <w:pPr>
        <w:pStyle w:val="ListBullet"/>
        <w:spacing w:after="60"/>
      </w:pPr>
      <w:r>
        <w:t>Use corrected geographic imagery only to design a physical transect. Process the final track in native complex-image coordinates.</w:t>
      </w:r>
    </w:p>
    <w:p>
      <w:pPr>
        <w:pStyle w:val="Heading1"/>
      </w:pPr>
      <w:r>
        <w:t>3 Frequency domain Reference Offset pair design</w:t>
      </w:r>
    </w:p>
    <w:p>
      <w:r>
        <w:t>For each pair k, construct broad Reference and Offset Doppler passbands on the same declared frequency grid. The within-pair B-shift is the frequency separation between the corresponding R and O edge placements. The passband width, within-pair B-shift, and leap to the next pair are distinct declared quantities.</w:t>
      </w:r>
    </w:p>
    <w:p>
      <w:r>
        <w:t>Successive K-pairs are positioned so that the Offset-edge span of pair k+1 shares no more than the declared overlap fraction alpha with the Offset-edge span of pair k. The default protocol value is alpha = 0.05. If B is the B-shift span in hertz, the permitted edge overlap and required edge advance are:</w:t>
      </w:r>
    </w:p>
    <w:tbl>
      <w:tblPr>
        <w:tblStyle w:val="TableGrid"/>
        <w:tblW w:type="auto" w:w="0"/>
        <w:jc w:val="center"/>
        <w:tblLook w:firstColumn="1" w:firstRow="1" w:lastColumn="0" w:lastRow="0" w:noHBand="0" w:noVBand="1" w:val="04A0"/>
      </w:tblPr>
      <w:tblGrid>
        <w:gridCol w:w="4968"/>
        <w:gridCol w:w="4968"/>
      </w:tblGrid>
      <w:tr>
        <w:tc>
          <w:tcPr>
            <w:tcW w:type="dxa" w:w="496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Quantity</w:t>
            </w:r>
          </w:p>
        </w:tc>
        <w:tc>
          <w:tcPr>
            <w:tcW w:type="dxa" w:w="496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rPr>
              <w:t>Rule</w:t>
            </w:r>
          </w:p>
        </w:tc>
      </w:tr>
      <w:tr>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r>
              <w:t>Maximum overlap</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r>
              <w:t>alpha B</w:t>
            </w:r>
          </w:p>
        </w:tc>
      </w:tr>
      <w:tr>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r>
              <w:t>Minimum edge advance</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r>
              <w:t>(1 - alpha) B</w:t>
            </w:r>
          </w:p>
        </w:tc>
      </w:tr>
      <w:tr>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r>
              <w:t>Default alpha</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r>
              <w:t>0.05</w:t>
            </w:r>
          </w:p>
        </w:tc>
      </w:tr>
    </w:tbl>
    <w:p>
      <w:r>
        <w:t>Example: for B = 404 Hz, the maximum allowed shared Offset-edge span is 20.2 Hz and the next edge must advance by at least 383.8 Hz. If an Offset edge is placed over the 1000 to 1404 Hz span, the next pair may share no more than 20.2 Hz of that span. The actual leap and all discrete-bin rounding must be saved in the run manifest.</w:t>
      </w:r>
    </w:p>
    <w:p>
      <w:pPr>
        <w:pStyle w:val="ListBullet"/>
        <w:spacing w:after="60"/>
      </w:pPr>
      <w:r>
        <w:t>Define the complete filter bank before inspecting targets. Record frequency ordering, FFT length, padding, mask weights, edge conventions, B-shift, alpha, realized overlaps, and all pair centers.</w:t>
      </w:r>
    </w:p>
    <w:p>
      <w:pPr>
        <w:pStyle w:val="ListBullet"/>
        <w:spacing w:after="60"/>
      </w:pPr>
      <w:r>
        <w:t>Use an FFT and inverse FFT implementation that exactly corresponds to the applied masks. If range-frequency filtering is used, implement the corresponding two-dimensional transform.</w:t>
      </w:r>
    </w:p>
    <w:p>
      <w:pPr>
        <w:pStyle w:val="ListBullet"/>
        <w:spacing w:after="60"/>
      </w:pPr>
      <w:r>
        <w:t>The 5 percent rule governs the relationship between successive K-pair placements. It does not imply that a spatial registration patch corresponds to, or isolates, a particular portion of a spectral edge.</w:t>
      </w:r>
    </w:p>
    <w:p>
      <w:pPr>
        <w:pStyle w:val="ListBullet"/>
        <w:spacing w:after="60"/>
      </w:pPr>
      <w:r>
        <w:t>K is the number of valid pairs produced by the declared bank. W is a later depth-fit window length. Neither is fixed by this generic protocol.</w:t>
      </w:r>
    </w:p>
    <w:p>
      <w:pPr>
        <w:pStyle w:val="Heading1"/>
      </w:pPr>
      <w:r>
        <w:t>4 Pairwise complex registration</w:t>
      </w:r>
    </w:p>
    <w:p>
      <w:pPr>
        <w:pStyle w:val="ListBullet"/>
        <w:spacing w:after="60"/>
      </w:pPr>
      <w:r>
        <w:t>Register Reference R_k only to its matched Offset O_k. Do not align different k looks to one another or daisy-chain registrations.</w:t>
      </w:r>
    </w:p>
    <w:p>
      <w:pPr>
        <w:pStyle w:val="ListBullet"/>
        <w:spacing w:after="60"/>
      </w:pPr>
      <w:r>
        <w:t>Use a declared complex-valued estimator and save its scoring patch, context support, interpolation method, optimizer settings, continuous displacement, rounded displacement, score, and failure flags.</w:t>
      </w:r>
    </w:p>
    <w:p>
      <w:pPr>
        <w:pStyle w:val="ListBullet"/>
        <w:spacing w:after="60"/>
      </w:pPr>
      <w:r>
        <w:t>When context is used, shift or interpolate the surrounding complex image before extracting the scoring patch. Context is interpolation support, not added physical bandwidth.</w:t>
      </w:r>
    </w:p>
    <w:p>
      <w:pPr>
        <w:pStyle w:val="ListBullet"/>
        <w:spacing w:after="60"/>
      </w:pPr>
      <w:r>
        <w:t>Validate the estimator before interpreting data using identity, imposed-shift, R-copy, actual R/O baseline-difference, locality, margin-sensitivity, and stationary controls. Preserve failures.</w:t>
      </w:r>
    </w:p>
    <w:p>
      <w:r>
        <w:t>Let Y_k(x) = [dx(x,k), dy(x,k)] be the raw same-pair registration vector at target position x. It is an image-registration observable, retained permanently as a control, not independently calibrated ground motion.</w:t>
      </w:r>
    </w:p>
    <w:p>
      <w:pPr>
        <w:pStyle w:val="Heading1"/>
      </w:pPr>
      <w:r>
        <w:t>5 Nuisance correction and scalar quality control</w:t>
      </w:r>
    </w:p>
    <w:p>
      <w:r>
        <w:t>Measure nuisance vectors from declared side arcs or flanks using the identical registration procedure used on the target. Form robust per-side summaries, combine them into G_arc,k, and retain q_arc,k = Y_k - G_arc,k as the canonical nuisance-corrected vector. Save all arc samples, side disagreement, within-side scatter, and the componentwise identity Y = G_arc + q_arc.</w:t>
      </w:r>
    </w:p>
    <w:p>
      <w:r>
        <w:t>Maintain a separate scalar coherence or decoherence screen. It is quality control, not the depth-focus input. Layover, shadow, multipath, focus changes, scattering morphology, amplitude changes, and registration bias remain live confounders unless specifically tested.</w:t>
      </w:r>
    </w:p>
    <w:p>
      <w:pPr>
        <w:pStyle w:val="Heading1"/>
      </w:pPr>
      <w:r>
        <w:t>6 Modal and spatial support analysis</w:t>
      </w:r>
    </w:p>
    <w:p>
      <w:r>
        <w:t>Fit declared harmonic modes to the ordered q_arc vector sequence over each declared contiguous window. Modal order is an index in ordered pair space, not automatically a physical vibration frequency or a cavity eigenmode. The run must declare the mode range, fit form, scoring metric, ratio or amplitude gates, and rule for choosing a winning mode.</w:t>
      </w:r>
    </w:p>
    <w:p>
      <w:r>
        <w:t>Declare spatial persistence separately from modal eligibility. Neighboring positions, overlapping windows, and overlapping patches are dependent observations; support does not count independent detections. Preserve individual-window results and all rejected cases.</w:t>
      </w:r>
    </w:p>
    <w:p>
      <w:pPr>
        <w:pStyle w:val="Heading1"/>
      </w:pPr>
      <w:r>
        <w:t>7 Kz geometry and conditional depth focus</w:t>
      </w:r>
    </w:p>
    <w:p>
      <w:r>
        <w:t>Compute Kz independently for the current acquisition from declared state vectors, slant range, incidence angle, and the line-of-sight-orthogonal component of the virtual inter-look baseline. Freeze the sign convention and units. A representative form is Kz,k = 4 pi B_perp,k / (lambda r_k sin theta_k), with all model assumptions declared.</w:t>
      </w:r>
    </w:p>
    <w:p>
      <w:r>
        <w:t>For each eligible window and candidate nominal depth z, fit both components of q_arc to the real two-component steering basis [cos(Kz,k z), sin(Kz,k z)]. Save window-by-window scores, the exact z grid, and the winning window at every retained location. Do not count periodic steering copies or opposite-sign equivalent branches as separate depth solutions.</w:t>
      </w:r>
    </w:p>
    <w:p>
      <w:r>
        <w:t>The displayed z grid is linear in nominal model metres when uniformly sampled. Absolute depth remains conditional on the operational wavelength or velocity model. A calibration anchor is not an independent validation. Any depth-dependent propagation or lensing model is a separately versioned forward-model extension.</w:t>
      </w:r>
    </w:p>
    <w:p>
      <w:pPr>
        <w:pStyle w:val="Heading1"/>
      </w:pPr>
      <w:r>
        <w:t>8 Required manifest and validation gates</w:t>
      </w:r>
    </w:p>
    <w:p>
      <w:pPr>
        <w:pStyle w:val="ListBullet"/>
        <w:spacing w:after="60"/>
      </w:pPr>
      <w:r>
        <w:t>Input identity and hashes; axes; geometry; state-vector source; and coordinate conventions.</w:t>
      </w:r>
    </w:p>
    <w:p>
      <w:pPr>
        <w:pStyle w:val="ListBullet"/>
        <w:spacing w:after="60"/>
      </w:pPr>
      <w:r>
        <w:t>Full R/O filter-bank table: passband widths, B-shift, alpha, nominal and realized leap, realized successive overlaps, discrete-bin rounding, centers, and mask weights.</w:t>
      </w:r>
    </w:p>
    <w:p>
      <w:pPr>
        <w:pStyle w:val="ListBullet"/>
        <w:spacing w:after="60"/>
      </w:pPr>
      <w:r>
        <w:t>Registration method and all numerical controls, target and nuisance vectors, residuals, scalar QC, modal outputs, support masks, Kz table, z grid, and all undisplayed numerical scores.</w:t>
      </w:r>
    </w:p>
    <w:p>
      <w:pPr>
        <w:pStyle w:val="ListBullet"/>
        <w:spacing w:after="60"/>
      </w:pPr>
      <w:r>
        <w:t>Validation gates: axis, transform, filter-bank, edge-overlap, registration, same-pair matching, nuisance identity, window eligibility, recurrence, signed-branch equivalence, and conditional-depth disclosure.</w:t>
      </w:r>
    </w:p>
    <w:p>
      <w:pPr>
        <w:pStyle w:val="ListBullet"/>
        <w:spacing w:after="60"/>
      </w:pPr>
      <w:r>
        <w:t>A clear statement that scores are model-fit metrics, not detection probabilities, and that image-registration vectors are not proven physical motion.</w:t>
      </w:r>
    </w:p>
    <w:p>
      <w:pPr>
        <w:pStyle w:val="Heading1"/>
      </w:pPr>
      <w:r>
        <w:t>9 Execution sequence</w:t>
      </w:r>
    </w:p>
    <w:p>
      <w:r>
        <w:t>1. Load and verify the acquisition-specific complex image and metadata.</w:t>
      </w:r>
    </w:p>
    <w:p>
      <w:r>
        <w:t>2. Freeze tracks and the complete frequency-domain R/O bank, including the 5 percent edge-overlap limit.</w:t>
      </w:r>
    </w:p>
    <w:p>
      <w:r>
        <w:t>3. Reconstruct all matched R_k and O_k images.</w:t>
      </w:r>
    </w:p>
    <w:p>
      <w:r>
        <w:t>4. Validate registration, then measure target and nuisance vectors for every same-k pair.</w:t>
      </w:r>
    </w:p>
    <w:p>
      <w:r>
        <w:t>5. Form q_arc and save raw-vector and nuisance diagnostics.</w:t>
      </w:r>
    </w:p>
    <w:p>
      <w:r>
        <w:t>6. Apply the declared modal and spatial support rules.</w:t>
      </w:r>
    </w:p>
    <w:p>
      <w:r>
        <w:t>7. Compute acquisition-specific Kz and fit the declared nominal-depth grid.</w:t>
      </w:r>
    </w:p>
    <w:p>
      <w:r>
        <w:t>8. Save all results and the manifest before interpretation.</w:t>
      </w:r>
    </w:p>
    <w:p>
      <w:pPr>
        <w:pStyle w:val="Heading1"/>
      </w:pPr>
      <w:r>
        <w:t>10 Change record</w:t>
      </w:r>
    </w:p>
    <w:p>
      <w:r>
        <w:t>Version 1.7 removes acquisition-specific pair counts, spectral bounds, K/W defaults, depth grids, and named dataset settings from the generic protocol. It introduces the frequency-domain successive Offset-edge overlap constraint alpha = 0.05 by default. A run may use another alpha only if it is declared before target interpretation and recorded with the realized discrete mask overlaps.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Generic Biondi Subaperture Tomography Protocol v1.7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