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rPr>
          <w:rFonts w:ascii="Georgia" w:cs="Georgia" w:eastAsia="Georgia" w:hAnsi="Georgia"/>
          <w:b/>
          <w:bCs/>
          <w:color w:val="1e4d2b"/>
          <w:sz w:val="52"/>
          <w:szCs w:val="52"/>
        </w:rPr>
        <w:t xml:space="preserve">LIVING WORD</w:t>
      </w:r>
    </w:p>
    <w:p>
      <w:pPr>
        <w:spacing w:after="40" w:before="80"/>
      </w:pPr>
      <w:r>
        <w:rPr>
          <w:rFonts w:ascii="Georgia" w:cs="Georgia" w:eastAsia="Georgia" w:hAnsi="Georgia"/>
          <w:i/>
          <w:iCs/>
          <w:color w:val="9a7c3f"/>
          <w:sz w:val="28"/>
          <w:szCs w:val="28"/>
        </w:rPr>
        <w:t xml:space="preserve">Palavra Viva  ·  Palabra Viva</w:t>
      </w:r>
    </w:p>
    <w:p>
      <w:pPr>
        <w:pBdr>
          <w:bottom w:val="single" w:color="1e4d2b" w:sz="6"/>
        </w:pBdr>
        <w:spacing w:after="0" w:before="160"/>
      </w:pPr>
    </w:p>
    <w:p>
      <w:pPr>
        <w:spacing w:after="600" w:before="80"/>
      </w:pPr>
      <w:r>
        <w:rPr>
          <w:rFonts w:ascii="Arial" w:cs="Arial" w:eastAsia="Arial" w:hAnsi="Arial"/>
          <w:color w:val="1a1a1a"/>
          <w:sz w:val="30"/>
          <w:szCs w:val="30"/>
        </w:rPr>
        <w:t xml:space="preserve">Estratégia de Conversão Free → Pago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Documento de produto · BX4 Technology Solutions · Abril 2026</w:t>
      </w:r>
    </w:p>
    <w:p>
      <w:pPr>
        <w:spacing w:before="4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Confidencial — uso interno</w:t>
      </w:r>
    </w:p>
    <w:p>
      <w:pPr>
        <w:pBdr>
          <w:bottom w:val="single" w:color="d0d0d0" w:sz="4"/>
        </w:pBdr>
        <w:spacing w:after="160" w:before="160"/>
      </w:pPr>
    </w:p>
    <w:p>
      <w:pPr>
        <w:spacing w:before="200"/>
      </w:pP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1e4d2b"/>
          <w:sz w:val="30"/>
          <w:szCs w:val="30"/>
        </w:rPr>
        <w:t xml:space="preserve">Princípio central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plano Free entrega valor real suficiente para criar hábito. Mas as três dores que o usuário mais quer resolver ficam deliberadamente no pago: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Publicar mais — volume de artigos e agendamento editorial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Qualidade superior — todos os formatos, todas as versões bíblicas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Voz personalizada — estilo pastoral que é dele, não genérico</w:t>
      </w:r>
    </w:p>
    <w:p>
      <w:pPr>
        <w:spacing w:before="8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free não é uma versão ruim do produto. É uma versão incompleta de propósito.</w:t>
      </w:r>
    </w:p>
    <w:p>
      <w:pPr>
        <w:pBdr>
          <w:bottom w:val="single" w:color="d0d0d0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1e4d2b"/>
          <w:sz w:val="30"/>
          <w:szCs w:val="30"/>
        </w:rPr>
        <w:t xml:space="preserve">Por que 5 gerações — e não 3 ou 10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 5 gerações mensais, o pastor que prega toda semana chega ao domingo 4 sem geração disponível. A escassez não é artificial — é o próprio calendário de pregação dele.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 3 gerações: parece mezquinho demais, afasta antes de criar hábito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 5 gerações: cria hábito nas primeiras 3 semanas, gera urgência na 4ª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 10 gerações: ele nunca sente o limite, não converte</w:t>
      </w:r>
    </w:p>
    <w:p>
      <w:pPr>
        <w:spacing w:before="8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ciclo semanal de pregação é o motor natural de conversão. Não é preciso criar pressão artificial — só respeitar o ritmo do ministério.</w:t>
      </w:r>
    </w:p>
    <w:p>
      <w:pPr>
        <w:pBdr>
          <w:bottom w:val="single" w:color="d0d0d0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1e4d2b"/>
          <w:sz w:val="30"/>
          <w:szCs w:val="30"/>
        </w:rPr>
        <w:t xml:space="preserve">O gatilho mais forte dos 7: voz pastoral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Não é o limite de geração. É quando o usuário tenta selecionar "Expositivo" e descobre que está bloqueado.</w:t>
      </w:r>
    </w:p>
    <w:p>
      <w:pPr>
        <w:spacing w:before="80"/>
      </w:pPr>
    </w:p>
    <w:p>
      <w:pPr>
        <w:pBdr>
          <w:left w:val="single" w:color="1e4d2b" w:sz="18"/>
        </w:pBdr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2d6e3e"/>
          <w:sz w:val="20"/>
          <w:szCs w:val="20"/>
        </w:rPr>
        <w:t xml:space="preserve">"Ele prega de forma expositiva há 10 anos. Não quer soar como template."</w:t>
      </w:r>
    </w:p>
    <w:p>
      <w:pPr>
        <w:spacing w:before="8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Este gatilho mexe com identidade — não com conveniência. É o único dos 7 que ativa os três perfis de usuário simultaneamente: pastor, influencer e líder de célula. Todos têm um estilo que consideram "seu". Descobrir que esse estilo está no plano pago é o momento de maior intenção de upgrade em toda a jornada.</w:t>
      </w:r>
    </w:p>
    <w:p>
      <w:pPr>
        <w:pBdr>
          <w:bottom w:val="single" w:color="d0d0d0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1e4d2b"/>
          <w:sz w:val="30"/>
          <w:szCs w:val="30"/>
        </w:rPr>
        <w:t xml:space="preserve">Mostrar os formatos bloqueados — nunca esconder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Isso vai contra o instinto de "não mostrar o que o usuário não pode ter". Mas o comportamento de SaaS freemium é consistente:</w:t>
      </w:r>
    </w:p>
    <w:p>
      <w:pPr>
        <w:spacing w:before="80"/>
      </w:pPr>
    </w:p>
    <w:p>
      <w:pPr>
        <w:pBdr>
          <w:left w:val="single" w:color="1e4d2b" w:sz="18"/>
        </w:pBdr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2d6e3e"/>
          <w:sz w:val="20"/>
          <w:szCs w:val="20"/>
        </w:rPr>
        <w:t xml:space="preserve">"Usuário que vê o preview do conteúdo que quase teve converte 3× mais do que o usuário que nunca descobriu que o formato existia."</w:t>
      </w:r>
    </w:p>
    <w:p>
      <w:pPr>
        <w:spacing w:before="8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Os tabs de Reels, Bilíngue e Célula aparecem na interface com cadeado — visíveis, clicáveis, mas travados. Ao clicar, o usuário vê um drawer com o conteúdo que seria gerado naquele formato. Ele já sabe o que está perdendo antes de decidir pagar.</w:t>
      </w:r>
    </w:p>
    <w:p>
      <w:pPr>
        <w:spacing w:before="6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Regra de implementação: nunca esconder um feature no free. Sempre mostrar e bloquear.</w:t>
      </w:r>
    </w:p>
    <w:p>
      <w:pPr>
        <w:pBdr>
          <w:bottom w:val="single" w:color="d0d0d0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1e4d2b"/>
          <w:sz w:val="30"/>
          <w:szCs w:val="30"/>
        </w:rPr>
        <w:t xml:space="preserve">Trial de 7 dias sem cartão — o CTA principal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palavra "assinar" tem fricção. "7 dias grátis, sem cartão de crédito" remove a barreira psicológica de comprometer dinheiro antes de sentir o valor completo.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cartão é coletado apenas no 8º dia, via Stripe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Taxa de ativação de trial é 3–5× maior que upgrade direto para pastores e líderes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Este público tende a ser cauteloso com gastos digitais — o trial elimina o risco percebido</w:t>
      </w:r>
    </w:p>
    <w:p>
      <w:pPr>
        <w:spacing w:before="8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Todo botão de upgrade na plataforma usa este CTA. Nunca "Assinar", nunca "Comprar". Sempre "7 dias grátis, sem cartão".</w:t>
      </w:r>
    </w:p>
    <w:p>
      <w:pPr>
        <w:pBdr>
          <w:bottom w:val="single" w:color="d0d0d0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1e4d2b"/>
          <w:sz w:val="30"/>
          <w:szCs w:val="30"/>
        </w:rPr>
        <w:t xml:space="preserve">O que fica no Free — o que abre no Pastoral</w:t>
      </w:r>
    </w:p>
    <w:p>
      <w:pPr>
        <w:spacing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80"/>
        <w:gridCol w:w="3080"/>
      </w:tblGrid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2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Feature</w:t>
            </w:r>
          </w:p>
        </w:tc>
        <w:tc>
          <w:tcPr>
            <w:tcW w:type="dxa" w:w="2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2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Plano Free</w:t>
            </w:r>
          </w:p>
        </w:tc>
        <w:tc>
          <w:tcPr>
            <w:tcW w:type="dxa" w:w="3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2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Plano Pastoral ($9/mês)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Gerações/mês</w:t>
            </w:r>
          </w:p>
        </w:tc>
        <w:tc>
          <w:tcPr>
            <w:tcW w:type="dxa" w:w="2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Formatos pastorais</w:t>
            </w:r>
          </w:p>
        </w:tc>
        <w:tc>
          <w:tcPr>
            <w:tcW w:type="dxa" w:w="2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Sermão + esboço + devocional</w:t>
            </w:r>
          </w:p>
        </w:tc>
        <w:tc>
          <w:tcPr>
            <w:tcW w:type="dxa" w:w="3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Todos os 7 formatos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Artigos de blog</w:t>
            </w:r>
          </w:p>
        </w:tc>
        <w:tc>
          <w:tcPr>
            <w:tcW w:type="dxa" w:w="2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1/mês</w:t>
            </w:r>
          </w:p>
        </w:tc>
        <w:tc>
          <w:tcPr>
            <w:tcW w:type="dxa" w:w="3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20/mês + agendamento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Voz pastoral</w:t>
            </w:r>
          </w:p>
        </w:tc>
        <w:tc>
          <w:tcPr>
            <w:tcW w:type="dxa" w:w="2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Apenas Acolhedor</w:t>
            </w:r>
          </w:p>
        </w:tc>
        <w:tc>
          <w:tcPr>
            <w:tcW w:type="dxa" w:w="3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Todas as vozes desbloqueadas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Versão bíblica</w:t>
            </w:r>
          </w:p>
        </w:tc>
        <w:tc>
          <w:tcPr>
            <w:tcW w:type="dxa" w:w="2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ARA / KJV / RVR60</w:t>
            </w:r>
          </w:p>
        </w:tc>
        <w:tc>
          <w:tcPr>
            <w:tcW w:type="dxa" w:w="3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Todas — NVI, ESV, NLT, NIV, NVI-ES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Biblioteca</w:t>
            </w:r>
          </w:p>
        </w:tc>
        <w:tc>
          <w:tcPr>
            <w:tcW w:type="dxa" w:w="2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Últimos 10 materiais</w:t>
            </w:r>
          </w:p>
        </w:tc>
        <w:tc>
          <w:tcPr>
            <w:tcW w:type="dxa" w:w="3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Ilimitada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Watermark</w:t>
            </w:r>
          </w:p>
        </w:tc>
        <w:tc>
          <w:tcPr>
            <w:tcW w:type="dxa" w:w="2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"Gerado com Living Word"</w:t>
            </w:r>
          </w:p>
        </w:tc>
        <w:tc>
          <w:tcPr>
            <w:tcW w:type="dxa" w:w="3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Removido — 100% sua assinatura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Sites WordPress</w:t>
            </w:r>
          </w:p>
        </w:tc>
        <w:tc>
          <w:tcPr>
            <w:tcW w:type="dxa" w:w="2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Apenas subdomínio LW</w:t>
            </w:r>
          </w:p>
        </w:tc>
        <w:tc>
          <w:tcPr>
            <w:tcW w:type="dxa" w:w="3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site conectado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Agendamento</w:t>
            </w:r>
          </w:p>
        </w:tc>
        <w:tc>
          <w:tcPr>
            <w:tcW w:type="dxa" w:w="2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Não disponível</w:t>
            </w:r>
          </w:p>
        </w:tc>
        <w:tc>
          <w:tcPr>
            <w:tcW w:type="dxa" w:w="3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Calendário editorial ativo</w:t>
            </w:r>
          </w:p>
        </w:tc>
      </w:tr>
    </w:tbl>
    <w:p>
      <w:pPr>
        <w:pBdr>
          <w:bottom w:val="single" w:color="d0d0d0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1e4d2b"/>
          <w:sz w:val="30"/>
          <w:szCs w:val="30"/>
        </w:rPr>
        <w:t xml:space="preserve">Os 7 gatilhos de upgrade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Cada gatilho é ativado em um momento específico da jornada. Nunca empilhados na mesma sessão.</w:t>
      </w:r>
    </w:p>
    <w:p>
      <w:pPr>
        <w:spacing w:before="1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d2b"/>
          <w:sz w:val="22"/>
          <w:szCs w:val="22"/>
        </w:rPr>
        <w:t xml:space="preserve">Gatilho 1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Geração 4 de 5</w:t>
      </w:r>
      <w:r>
        <w:rPr>
          <w:rFonts w:ascii="Arial" w:cs="Arial" w:eastAsia="Arial" w:hAnsi="Arial"/>
          <w:b/>
          <w:bCs/>
          <w:color w:val="7a4a10"/>
          <w:sz w:val="17"/>
          <w:szCs w:val="17"/>
        </w:rPr>
        <w:t xml:space="preserve">  [Urgência]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Quando: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usuário usa a 4ª geração do mês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Onde: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barra de progresso inline no topo do Estúdio — não modal</w:t>
      </w:r>
    </w:p>
    <w:p>
      <w:pPr>
        <w:pBdr>
          <w:left w:val="single" w:color="9a7c3f" w:sz="14"/>
        </w:pBdr>
        <w:spacing w:after="80" w:before="80"/>
        <w:ind w:left="560"/>
      </w:pPr>
      <w:r>
        <w:rPr>
          <w:rFonts w:ascii="Georgia" w:cs="Georgia" w:eastAsia="Georgia" w:hAnsi="Georgia"/>
          <w:i/>
          <w:iCs/>
          <w:color w:val="7a4a10"/>
          <w:sz w:val="19"/>
          <w:szCs w:val="19"/>
        </w:rPr>
        <w:t xml:space="preserve">Você usou 4 das suas 5 gerações este mês. Ainda tem um domingo pela frente? Pastoral por $9/mês garante 40 gerações.</w:t>
      </w:r>
    </w:p>
    <w:p>
      <w:pPr>
        <w:spacing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d2b"/>
          <w:sz w:val="22"/>
          <w:szCs w:val="22"/>
        </w:rPr>
        <w:t xml:space="preserve">Gatilho 2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Clique em formato bloqueado</w:t>
      </w:r>
      <w:r>
        <w:rPr>
          <w:rFonts w:ascii="Arial" w:cs="Arial" w:eastAsia="Arial" w:hAnsi="Arial"/>
          <w:b/>
          <w:bCs/>
          <w:color w:val="1a4fa0"/>
          <w:sz w:val="17"/>
          <w:szCs w:val="17"/>
        </w:rPr>
        <w:t xml:space="preserve">  [Desejo]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Quando: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usuário clica nos tabs de Reels, Bilíngue ou Célula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Onde: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drawer lateral com preview do conteúdo que seria gerado + CTA</w:t>
      </w:r>
    </w:p>
    <w:p>
      <w:pPr>
        <w:pBdr>
          <w:left w:val="single" w:color="9a7c3f" w:sz="14"/>
        </w:pBdr>
        <w:spacing w:after="80" w:before="80"/>
        <w:ind w:left="560"/>
      </w:pPr>
      <w:r>
        <w:rPr>
          <w:rFonts w:ascii="Georgia" w:cs="Georgia" w:eastAsia="Georgia" w:hAnsi="Georgia"/>
          <w:i/>
          <w:iCs/>
          <w:color w:val="7a4a10"/>
          <w:sz w:val="19"/>
          <w:szCs w:val="19"/>
        </w:rPr>
        <w:t xml:space="preserve">Este seria o conteúdo para Reels gerado a partir da sua passagem. Desbloqueie no Pastoral — $9/mês.</w:t>
      </w:r>
    </w:p>
    <w:p>
      <w:pPr>
        <w:spacing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d2b"/>
          <w:sz w:val="22"/>
          <w:szCs w:val="22"/>
        </w:rPr>
        <w:t xml:space="preserve">Gatilho 3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Tentativa de mudar a voz pastoral</w:t>
      </w:r>
      <w:r>
        <w:rPr>
          <w:rFonts w:ascii="Arial" w:cs="Arial" w:eastAsia="Arial" w:hAnsi="Arial"/>
          <w:b/>
          <w:bCs/>
          <w:color w:val="5a1a9a"/>
          <w:sz w:val="17"/>
          <w:szCs w:val="17"/>
        </w:rPr>
        <w:t xml:space="preserve">  [Identidade — mais forte]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Quando: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usuário tenta selecionar Expositivo, Narrativo ou outro estilo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Onde: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mini-card explicativo abaixo do select com CTA inline</w:t>
      </w:r>
    </w:p>
    <w:p>
      <w:pPr>
        <w:pBdr>
          <w:left w:val="single" w:color="9a7c3f" w:sz="14"/>
        </w:pBdr>
        <w:spacing w:after="80" w:before="80"/>
        <w:ind w:left="560"/>
      </w:pPr>
      <w:r>
        <w:rPr>
          <w:rFonts w:ascii="Georgia" w:cs="Georgia" w:eastAsia="Georgia" w:hAnsi="Georgia"/>
          <w:i/>
          <w:iCs/>
          <w:color w:val="7a4a10"/>
          <w:sz w:val="19"/>
          <w:szCs w:val="19"/>
        </w:rPr>
        <w:t xml:space="preserve">No Pastoral, seu conteúdo é gerado com sua voz expositiva — não um template genérico. É sua pregação, no seu estilo.</w:t>
      </w:r>
    </w:p>
    <w:p>
      <w:pPr>
        <w:spacing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d2b"/>
          <w:sz w:val="22"/>
          <w:szCs w:val="22"/>
        </w:rPr>
        <w:t xml:space="preserve">Gatilho 4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2º artigo de blog no mês</w:t>
      </w:r>
      <w:r>
        <w:rPr>
          <w:rFonts w:ascii="Arial" w:cs="Arial" w:eastAsia="Arial" w:hAnsi="Arial"/>
          <w:b/>
          <w:bCs/>
          <w:color w:val="1e4d2b"/>
          <w:sz w:val="17"/>
          <w:szCs w:val="17"/>
        </w:rPr>
        <w:t xml:space="preserve">  [Volume]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Quando: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tenta gerar o 2º artigo do mês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Onde: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sistema gera e salva como rascunho + banner no topo do artigo</w:t>
      </w:r>
    </w:p>
    <w:p>
      <w:pPr>
        <w:pBdr>
          <w:left w:val="single" w:color="9a7c3f" w:sz="14"/>
        </w:pBdr>
        <w:spacing w:after="80" w:before="80"/>
        <w:ind w:left="560"/>
      </w:pPr>
      <w:r>
        <w:rPr>
          <w:rFonts w:ascii="Georgia" w:cs="Georgia" w:eastAsia="Georgia" w:hAnsi="Georgia"/>
          <w:i/>
          <w:iCs/>
          <w:color w:val="7a4a10"/>
          <w:sz w:val="19"/>
          <w:szCs w:val="19"/>
        </w:rPr>
        <w:t xml:space="preserve">Seu artigo foi gerado e salvo como rascunho. Para publicar e gerar os próximos 19, o Pastoral libera 20 artigos/mês com agendamento.</w:t>
      </w:r>
    </w:p>
    <w:p>
      <w:pPr>
        <w:spacing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d2b"/>
          <w:sz w:val="22"/>
          <w:szCs w:val="22"/>
        </w:rPr>
        <w:t xml:space="preserve">Gatilho 5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Watermark no blog ao vivo</w:t>
      </w:r>
      <w:r>
        <w:rPr>
          <w:rFonts w:ascii="Arial" w:cs="Arial" w:eastAsia="Arial" w:hAnsi="Arial"/>
          <w:b/>
          <w:bCs/>
          <w:color w:val="991b1b"/>
          <w:sz w:val="17"/>
          <w:szCs w:val="17"/>
        </w:rPr>
        <w:t xml:space="preserve">  [Vergonha profissional]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Quando: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usuário visita o próprio blog e volta ao dashboard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Onde: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card sutil no dashboard — não notificação push</w:t>
      </w:r>
    </w:p>
    <w:p>
      <w:pPr>
        <w:pBdr>
          <w:left w:val="single" w:color="9a7c3f" w:sz="14"/>
        </w:pBdr>
        <w:spacing w:after="80" w:before="80"/>
        <w:ind w:left="560"/>
      </w:pPr>
      <w:r>
        <w:rPr>
          <w:rFonts w:ascii="Georgia" w:cs="Georgia" w:eastAsia="Georgia" w:hAnsi="Georgia"/>
          <w:i/>
          <w:iCs/>
          <w:color w:val="7a4a10"/>
          <w:sz w:val="19"/>
          <w:szCs w:val="19"/>
        </w:rPr>
        <w:t xml:space="preserve">Seus leitores estão vendo o rodapé 'Gerado com Living Word' nos seus artigos. No Pastoral, o conteúdo é 100% assinado por você.</w:t>
      </w:r>
    </w:p>
    <w:p>
      <w:pPr>
        <w:spacing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d2b"/>
          <w:sz w:val="22"/>
          <w:szCs w:val="22"/>
        </w:rPr>
        <w:t xml:space="preserve">Gatilho 6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11º material na biblioteca</w:t>
      </w:r>
      <w:r>
        <w:rPr>
          <w:rFonts w:ascii="Arial" w:cs="Arial" w:eastAsia="Arial" w:hAnsi="Arial"/>
          <w:b/>
          <w:bCs/>
          <w:color w:val="991b1b"/>
          <w:sz w:val="17"/>
          <w:szCs w:val="17"/>
        </w:rPr>
        <w:t xml:space="preserve">  [Perda]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Quando: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usuário salva o 11º material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Onde: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notificação inline + material mais antigo desfocado com cadeado</w:t>
      </w:r>
    </w:p>
    <w:p>
      <w:pPr>
        <w:pBdr>
          <w:left w:val="single" w:color="9a7c3f" w:sz="14"/>
        </w:pBdr>
        <w:spacing w:after="80" w:before="80"/>
        <w:ind w:left="560"/>
      </w:pPr>
      <w:r>
        <w:rPr>
          <w:rFonts w:ascii="Georgia" w:cs="Georgia" w:eastAsia="Georgia" w:hAnsi="Georgia"/>
          <w:i/>
          <w:iCs/>
          <w:color w:val="7a4a10"/>
          <w:sz w:val="19"/>
          <w:szCs w:val="19"/>
        </w:rPr>
        <w:t xml:space="preserve">Seu sermão de 3 semanas atrás foi arquivado. No Pastoral, sua biblioteca é ilimitada — você nunca perde um material.</w:t>
      </w:r>
    </w:p>
    <w:p>
      <w:pPr>
        <w:spacing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d2b"/>
          <w:sz w:val="22"/>
          <w:szCs w:val="22"/>
        </w:rPr>
        <w:t xml:space="preserve">Gatilho 7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Email dia 25 do mês</w:t>
      </w:r>
      <w:r>
        <w:rPr>
          <w:rFonts w:ascii="Arial" w:cs="Arial" w:eastAsia="Arial" w:hAnsi="Arial"/>
          <w:b/>
          <w:bCs/>
          <w:color w:val="1a4fa0"/>
          <w:sz w:val="17"/>
          <w:szCs w:val="17"/>
        </w:rPr>
        <w:t xml:space="preserve">  [Reativação]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Quando: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dia 25, para usuários free com ≥ 3 gerações no mês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Onde: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email com resumo do mês + delta entre o que usou e o que perdeu</w:t>
      </w:r>
    </w:p>
    <w:p>
      <w:pPr>
        <w:pBdr>
          <w:left w:val="single" w:color="9a7c3f" w:sz="14"/>
        </w:pBdr>
        <w:spacing w:after="80" w:before="80"/>
        <w:ind w:left="560"/>
      </w:pPr>
      <w:r>
        <w:rPr>
          <w:rFonts w:ascii="Georgia" w:cs="Georgia" w:eastAsia="Georgia" w:hAnsi="Georgia"/>
          <w:i/>
          <w:iCs/>
          <w:color w:val="7a4a10"/>
          <w:sz w:val="19"/>
          <w:szCs w:val="19"/>
        </w:rPr>
        <w:t xml:space="preserve">Este mês você preparou 3 pregações com Living Word. Mas seus Reels ficaram bloqueados e você ainda tem mais 1 domingo. Por $9 você garante os próximos 35.</w:t>
      </w:r>
    </w:p>
    <w:p>
      <w:pPr>
        <w:pBdr>
          <w:bottom w:val="single" w:color="d0d0d0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1e4d2b"/>
          <w:sz w:val="30"/>
          <w:szCs w:val="30"/>
        </w:rPr>
        <w:t xml:space="preserve">Jornada do usuário free — linha do tempo</w:t>
      </w:r>
    </w:p>
    <w:p>
      <w:pPr>
        <w:spacing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2760"/>
      </w:tblGrid>
      <w:tr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2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Momento</w:t>
            </w:r>
          </w:p>
        </w:tc>
        <w:tc>
          <w:tcPr>
            <w:tcW w:type="dxa" w:w="4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2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2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2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Gatilho ativo</w:t>
            </w:r>
          </w:p>
        </w:tc>
      </w:tr>
      <w:tr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Dia 0 — cadastro</w:t>
            </w:r>
          </w:p>
        </w:tc>
        <w:tc>
          <w:tcPr>
            <w:tcW w:type="dxa" w:w="4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Blog no ar. 2 artigos publicados. 5 gerações disponíveis.</w:t>
            </w:r>
          </w:p>
        </w:tc>
        <w:tc>
          <w:tcPr>
            <w:tcW w:type="dxa" w:w="2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Aha moment — valor antes de qualquer esforço</w:t>
            </w:r>
          </w:p>
        </w:tc>
      </w:tr>
      <w:tr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Dia 2–5</w:t>
            </w:r>
          </w:p>
        </w:tc>
        <w:tc>
          <w:tcPr>
            <w:tcW w:type="dxa" w:w="4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Primeira geração própria. Vê tabs bloqueados. Clica por curiosidade.</w:t>
            </w:r>
          </w:p>
        </w:tc>
        <w:tc>
          <w:tcPr>
            <w:tcW w:type="dxa" w:w="2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#2 — desejo semeado</w:t>
            </w:r>
          </w:p>
        </w:tc>
      </w:tr>
      <w:tr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Dia 7–14</w:t>
            </w:r>
          </w:p>
        </w:tc>
        <w:tc>
          <w:tcPr>
            <w:tcW w:type="dxa" w:w="4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Tenta mudar voz para Expositivo. Bloqueado.</w:t>
            </w:r>
          </w:p>
        </w:tc>
        <w:tc>
          <w:tcPr>
            <w:tcW w:type="dxa" w:w="2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#3 — maior intenção de upgrade</w:t>
            </w:r>
          </w:p>
        </w:tc>
      </w:tr>
      <w:tr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Dia 20</w:t>
            </w:r>
          </w:p>
        </w:tc>
        <w:tc>
          <w:tcPr>
            <w:tcW w:type="dxa" w:w="4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Geração 4 de 5. Barra vermelha. Tem mais 1 domingo.</w:t>
            </w:r>
          </w:p>
        </w:tc>
        <w:tc>
          <w:tcPr>
            <w:tcW w:type="dxa" w:w="2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#1 — conversão mais alta aqui</w:t>
            </w:r>
          </w:p>
        </w:tc>
      </w:tr>
      <w:tr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Dia 25</w:t>
            </w:r>
          </w:p>
        </w:tc>
        <w:tc>
          <w:tcPr>
            <w:tcW w:type="dxa" w:w="4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Email com resumo + o que ficou na mesa.</w:t>
            </w:r>
          </w:p>
        </w:tc>
        <w:tc>
          <w:tcPr>
            <w:tcW w:type="dxa" w:w="2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#7 — captura quem resistiu</w:t>
            </w:r>
          </w:p>
        </w:tc>
      </w:tr>
      <w:tr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Mês 2</w:t>
            </w:r>
          </w:p>
        </w:tc>
        <w:tc>
          <w:tcPr>
            <w:tcW w:type="dxa" w:w="4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Biblioteca começa a arquivar. Materiais desfocados.</w:t>
            </w:r>
          </w:p>
        </w:tc>
        <w:tc>
          <w:tcPr>
            <w:tcW w:type="dxa" w:w="2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#6 — perda de algo já investido</w:t>
            </w:r>
          </w:p>
        </w:tc>
      </w:tr>
    </w:tbl>
    <w:p>
      <w:pPr>
        <w:pBdr>
          <w:bottom w:val="single" w:color="d0d0d0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1e4d2b"/>
          <w:sz w:val="30"/>
          <w:szCs w:val="30"/>
        </w:rPr>
        <w:t xml:space="preserve">Regras de UX — não parecer agressivo</w:t>
      </w:r>
    </w:p>
    <w:p>
      <w:pPr>
        <w:spacing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e3e"/>
          <w:sz w:val="22"/>
          <w:szCs w:val="22"/>
        </w:rPr>
        <w:t xml:space="preserve">Regra 1 — Nunca bloquear a geração, bloquear o formato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usuário sempre consegue gerar sermão e esboço. O que bloqueia são os formatos extras. Ele sai com valor, mas querendo mais.</w:t>
      </w:r>
    </w:p>
    <w:p>
      <w:pPr>
        <w:spacing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e3e"/>
          <w:sz w:val="22"/>
          <w:szCs w:val="22"/>
        </w:rPr>
        <w:t xml:space="preserve">Regra 2 — Mostrar o bloqueado, nunca esconder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Tabs de Reels e Bilíngue aparecem com cadeado. O usuário vê o que existe antes de pagar — isso aumenta o desejo.</w:t>
      </w:r>
    </w:p>
    <w:p>
      <w:pPr>
        <w:spacing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e3e"/>
          <w:sz w:val="22"/>
          <w:szCs w:val="22"/>
        </w:rPr>
        <w:t xml:space="preserve">Regra 3 — Um gatilho por sessão, nunca empilhar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 o usuário já viu o aviso de limite nesta sessão, não mostrar o de biblioteca. Guardar no estado local qual gatilho foi exibido.</w:t>
      </w:r>
    </w:p>
    <w:p>
      <w:pPr>
        <w:spacing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e3e"/>
          <w:sz w:val="22"/>
          <w:szCs w:val="22"/>
        </w:rPr>
        <w:t xml:space="preserve">Regra 4 — Nunca usar culpa, usar contexto pastoral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Não: "Você ainda não assinou."  Sim: "Você ainda tem 2 domingos este mês." O frame é sempre a missão, nunca o produto.</w:t>
      </w:r>
    </w:p>
    <w:p>
      <w:pPr>
        <w:spacing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e3e"/>
          <w:sz w:val="22"/>
          <w:szCs w:val="22"/>
        </w:rPr>
        <w:t xml:space="preserve">Regra 5 — Trial de 7 dias sem cartão como CTA principal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Remove a barreira psicológica. Coleta cartão no 8º dia via Stripe. Taxa de ativação 3–5× maior que upgrade direto.</w:t>
      </w:r>
    </w:p>
    <w:p>
      <w:pPr>
        <w:spacing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e3e"/>
          <w:sz w:val="22"/>
          <w:szCs w:val="22"/>
        </w:rPr>
        <w:t xml:space="preserve">Regra 6 — Pitch personalizado por perfil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Pastor: "Gere seu sermão expositivo de domingo — do jeito que você prega."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Influencer: "Publique 5 devocionais por semana no seu blog com sua voz."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Líder de célula: "Prepare sua célula toda semana com uma adaptação personalizada."</w:t>
      </w:r>
    </w:p>
    <w:p>
      <w:pPr>
        <w:pBdr>
          <w:bottom w:val="single" w:color="d0d0d0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1e4d2b"/>
          <w:sz w:val="30"/>
          <w:szCs w:val="30"/>
        </w:rPr>
        <w:t xml:space="preserve">A tabela conversion_events é obrigatória desde o dia 1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Sem ela, você vai adivinhar qual dos 7 gatilhos está funcionando. Com ela, em 30 dias de beta você sabe exatamente qual gatilho gera mais cliques, mais trials e mais conversões efetivas — e pode desligar os que não funcionam sem tocar no produto.</w:t>
      </w:r>
    </w:p>
    <w:p>
      <w:pPr>
        <w:spacing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e3e"/>
          <w:sz w:val="22"/>
          <w:szCs w:val="22"/>
        </w:rPr>
        <w:t xml:space="preserve">Métricas de conversão a monitorar</w:t>
      </w:r>
    </w:p>
    <w:p>
      <w:pPr>
        <w:spacing w:before="4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2560"/>
      </w:tblGrid>
      <w:tr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2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2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Meta</w:t>
            </w:r>
          </w:p>
        </w:tc>
        <w:tc>
          <w:tcPr>
            <w:tcW w:type="dxa" w:w="2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2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Taxa Free → Trial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 8%</w:t>
            </w:r>
          </w:p>
        </w:tc>
        <w:tc>
          <w:tcPr>
            <w:tcW w:type="dxa" w:w="2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Stripe</w:t>
            </w:r>
          </w:p>
        </w:tc>
      </w:tr>
      <w:tr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Taxa Trial → Pastoral pago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 60%</w:t>
            </w:r>
          </w:p>
        </w:tc>
        <w:tc>
          <w:tcPr>
            <w:tcW w:type="dxa" w:w="2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Stripe</w:t>
            </w:r>
          </w:p>
        </w:tc>
      </w:tr>
      <w:tr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Taxa Free → Pastoral (geral)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 5%</w:t>
            </w:r>
          </w:p>
        </w:tc>
        <w:tc>
          <w:tcPr>
            <w:tcW w:type="dxa" w:w="2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Stripe</w:t>
            </w:r>
          </w:p>
        </w:tc>
      </w:tr>
      <w:tr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Gatilho com maior conversão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 medir no beta</w:t>
            </w:r>
          </w:p>
        </w:tc>
        <w:tc>
          <w:tcPr>
            <w:tcW w:type="dxa" w:w="2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Supabase events</w:t>
            </w:r>
          </w:p>
        </w:tc>
      </w:tr>
      <w:tr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Dia médio de conversão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≤ 20 dias</w:t>
            </w:r>
          </w:p>
        </w:tc>
        <w:tc>
          <w:tcPr>
            <w:tcW w:type="dxa" w:w="2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Stripe + created_at</w:t>
            </w:r>
          </w:p>
        </w:tc>
      </w:tr>
      <w:tr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Churn Pastoral mês 2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≤ 15%</w:t>
            </w:r>
          </w:p>
        </w:tc>
        <w:tc>
          <w:tcPr>
            <w:tcW w:type="dxa" w:w="2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Stripe</w:t>
            </w:r>
          </w:p>
        </w:tc>
      </w:tr>
    </w:tbl>
    <w:p>
      <w:pPr>
        <w:spacing w:before="12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Registrar no Supabase: qual gatilho foi exibido, qual foi clicado, se resultou em trial e se o trial converteu. Isso monta um funil completo de conversão por gatilho — sem depender de ferramentas externas.</w:t>
      </w:r>
    </w:p>
    <w:p>
      <w:pPr>
        <w:pBdr>
          <w:bottom w:val="single" w:color="d0d0d0" w:sz="4"/>
        </w:pBdr>
        <w:spacing w:after="160" w:before="160"/>
      </w:pP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Living Word · Estratégia de Conversão v1.0 · Abril 2026</w:t>
      </w:r>
    </w:p>
    <w:p>
      <w:pPr>
        <w:spacing w:before="40"/>
        <w:jc w:val="center"/>
      </w:pPr>
      <w:r>
        <w:rPr>
          <w:rFonts w:ascii="Arial" w:cs="Arial" w:eastAsia="Arial" w:hAnsi="Arial"/>
          <w:color w:val="cccccc"/>
          <w:sz w:val="17"/>
          <w:szCs w:val="17"/>
        </w:rPr>
        <w:t xml:space="preserve">BX4 Technology Solutions · Canton, GA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Living Word · BX4 Technology Solutions ·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2b" w:sz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Living Word — Estratégia de Conversão  |  Confidencial  | 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Georgia" w:cs="Georgia" w:eastAsia="Georgia" w:hAnsi="Georgia"/>
      <w:b/>
      <w:bCs/>
      <w:color w:val="1e4d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Georgia" w:cs="Georgia" w:eastAsia="Georgia" w:hAnsi="Georgia"/>
      <w:b/>
      <w:bCs/>
      <w:color w:val="1e4d2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6e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2026-04-03T14:24:27.653Z</dcterms:created>
  <dcterms:modified xsi:type="dcterms:W3CDTF">2026-04-03T14:24:27.654Z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