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沪深 300 多因子选股（V1.0）需求文档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沪深300多因子选股（本科毕业论文版）需求文档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文档版本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V1.0（本科生适配最终版）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文档说明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本需求文档为</w:t>
      </w:r>
      <w:r>
        <w:rPr>
          <w:rFonts w:eastAsia="等线" w:ascii="Arial" w:cs="Arial" w:hAnsi="Arial"/>
          <w:b w:val="true"/>
          <w:sz w:val="22"/>
        </w:rPr>
        <w:t>沪深300成分股多因子选股</w:t>
      </w:r>
      <w:r>
        <w:rPr>
          <w:rFonts w:eastAsia="等线" w:ascii="Arial" w:cs="Arial" w:hAnsi="Arial"/>
          <w:sz w:val="22"/>
        </w:rPr>
        <w:t>本科毕业论文的全流程技术+撰写规范，严格遵循“本科量化论文核心要求”——重逻辑完整、方法规范、可复现，轻极致深度、复杂模型、高频实操，所有环节均适配本科生Python实操能力与论文撰写要求，保留核心创新点且步骤可落地，是后续代码实现、数据处理、论文撰写的唯一执行标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一、项目核心概述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论文选题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A股沪深300成分股多因子选股模型研究——基于行业中性化与XGBoost算法的优化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核心定位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本科生金融学/量化金融方向毕业论文，总字数控制在</w:t>
      </w:r>
      <w:r>
        <w:rPr>
          <w:rFonts w:eastAsia="等线" w:ascii="Arial" w:cs="Arial" w:hAnsi="Arial"/>
          <w:b w:val="true"/>
          <w:sz w:val="22"/>
        </w:rPr>
        <w:t>1.2-1.5万字</w:t>
      </w:r>
      <w:r>
        <w:rPr>
          <w:rFonts w:eastAsia="等线" w:ascii="Arial" w:cs="Arial" w:hAnsi="Arial"/>
          <w:sz w:val="22"/>
        </w:rPr>
        <w:t>，技术实现以Python基础库为主，无复杂框架开发要求。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简化核心原则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创新点：仅保留1个核心亮点（行业中性化因子优化 + XGBoost机器学习模型），足够体现论文辨识度；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流程：保证“数据→处理→模型→验证→论文”完整闭环，每个环节不贪多求全，只做“规范基础版”；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实操：所有代码/数据处理步骤可复现，论文撰写可直接复用代码结果、图表，实现“技术结果→论文素材”无缝衔接；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验证：仅需证明“优化后XGBoost模型选股效果跑赢沪深300基准”，无需追求超高收益或多周期稳健性检验。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 研究时间范围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2018年1月1日 - 2023年12月31日（沪深300成分股6年数据，兼顾样本量与处理难度）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二、核心研究目标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技术目标</w:t>
      </w:r>
      <w:bookmarkEnd w:id="9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完成沪深300成分股核心数据的规范预处理，输出可直接用于模型训练的标准化数据集；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实现3-5个核心因子的行业中性化处理与有效性检验，筛选出有效选股因子；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训练XGBoost选股模型，完成与沪深300基准的简单回测对比，输出核心收益指标与基础可视化图表；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所有代码模块化、带基础注释，可复现率100%。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论文目标</w:t>
      </w:r>
      <w:bookmarkEnd w:id="10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构建逻辑完整的量化研究论文框架，各章节衔接自然，方法说明清晰；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论文结论有数据/模型/回测结果支撑，能明确说明“行业中性化+XGBoost”的优化价值；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符合本科毕业论文格式要求，查重率≤15%，图表规范、附录完整。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三、适用范围</w:t>
      </w:r>
      <w:bookmarkEnd w:id="1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本需求仅适用于</w:t>
      </w:r>
      <w:r>
        <w:rPr>
          <w:rFonts w:eastAsia="等线" w:ascii="Arial" w:cs="Arial" w:hAnsi="Arial"/>
          <w:b w:val="true"/>
          <w:sz w:val="22"/>
        </w:rPr>
        <w:t>该选题本科生毕业论文</w:t>
      </w:r>
      <w:r>
        <w:rPr>
          <w:rFonts w:eastAsia="等线" w:ascii="Arial" w:cs="Arial" w:hAnsi="Arial"/>
          <w:sz w:val="22"/>
        </w:rPr>
        <w:t>，不适用硕士/量化研究员实操；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技术实现仅适用于Python基础环境，无特殊量化平台/付费工具要求；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论文撰写遵循国内普通高校本科金融学专业毕业论文规范。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四、核心创新点（论文唯一重点突出亮点）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针对传统多因子选股模型受A股行业轮动干扰、难以捕捉因子非线性关系的问题，将</w:t>
      </w:r>
      <w:r>
        <w:rPr>
          <w:rFonts w:eastAsia="等线" w:ascii="Arial" w:cs="Arial" w:hAnsi="Arial"/>
          <w:b w:val="true"/>
          <w:sz w:val="22"/>
        </w:rPr>
        <w:t>线性回归法行业中性化</w:t>
      </w:r>
      <w:r>
        <w:rPr>
          <w:rFonts w:eastAsia="等线" w:ascii="Arial" w:cs="Arial" w:hAnsi="Arial"/>
          <w:sz w:val="22"/>
        </w:rPr>
        <w:t>（剔除行业干扰，提纯因子选股能力）与</w:t>
      </w:r>
      <w:r>
        <w:rPr>
          <w:rFonts w:eastAsia="等线" w:ascii="Arial" w:cs="Arial" w:hAnsi="Arial"/>
          <w:b w:val="true"/>
          <w:sz w:val="22"/>
        </w:rPr>
        <w:t>XGBoost机器学习算法</w:t>
      </w:r>
      <w:r>
        <w:rPr>
          <w:rFonts w:eastAsia="等线" w:ascii="Arial" w:cs="Arial" w:hAnsi="Arial"/>
          <w:sz w:val="22"/>
        </w:rPr>
        <w:t>（捕捉因子间非线性关系，提升选股准确率）结合，应用于沪深300成分股选股，对比验证优化后模型相对沪深300基准的选股优势。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五、各阶段详细需求（技术实现+论文撰写双要求）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阶段1：数据来源与预处理（技术核心，论文第3章）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1. 技术实现需求</w:t>
      </w:r>
      <w:bookmarkEnd w:id="1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（1）输入数据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从Wind/CSMAR导出的沪深300成分股原始数据，包含核心字段（不可删减，可补充）：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字段口径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交易日期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YYYY-MM-DD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统一日期格式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股票代码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6位数字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无多余字符，如600000.SH简化为600000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收盘价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后复权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消除除权除息影响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换手率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日度换手率（%）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PE(TTM)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滚动12个月市盈率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估值类核心因子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PB(LF)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最新市净率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估值类核心因子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年化净资产收益率（%）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盈利类核心因子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总市值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亿元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规模类参考因子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沪深300收益率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日度收益率（%）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基准对比数据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补充：删除退市股、ST股数据，保留样本量≥280只沪深300成分股即可。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（2）处理步骤（严格按此执行，不可复杂化）</w:t>
      </w:r>
      <w:bookmarkEnd w:id="1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数据格式标准化：统一交易日期为</w:t>
      </w:r>
      <w:r>
        <w:rPr>
          <w:rFonts w:eastAsia="Consolas" w:ascii="Consolas" w:cs="Consolas" w:hAnsi="Consolas"/>
          <w:sz w:val="22"/>
          <w:shd w:fill="EFF0F1"/>
        </w:rPr>
        <w:t>YYYY-MM-DD</w:t>
      </w:r>
      <w:r>
        <w:rPr>
          <w:rFonts w:eastAsia="等线" w:ascii="Arial" w:cs="Arial" w:hAnsi="Arial"/>
          <w:sz w:val="22"/>
        </w:rPr>
        <w:t>、股票代码为6位纯数字，删除空行/乱码数据；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缺失值处理：PE(TTM)/PB(LF)/ROE用</w:t>
      </w:r>
      <w:r>
        <w:rPr>
          <w:rFonts w:eastAsia="等线" w:ascii="Arial" w:cs="Arial" w:hAnsi="Arial"/>
          <w:b w:val="true"/>
          <w:sz w:val="22"/>
        </w:rPr>
        <w:t>全样本均值填充</w:t>
      </w:r>
      <w:r>
        <w:rPr>
          <w:rFonts w:eastAsia="等线" w:ascii="Arial" w:cs="Arial" w:hAnsi="Arial"/>
          <w:sz w:val="22"/>
        </w:rPr>
        <w:t>，收盘价/换手率用</w:t>
      </w:r>
      <w:r>
        <w:rPr>
          <w:rFonts w:eastAsia="等线" w:ascii="Arial" w:cs="Arial" w:hAnsi="Arial"/>
          <w:b w:val="true"/>
          <w:sz w:val="22"/>
        </w:rPr>
        <w:t>前向填充（ffill）</w:t>
      </w:r>
      <w:r>
        <w:rPr>
          <w:rFonts w:eastAsia="等线" w:ascii="Arial" w:cs="Arial" w:hAnsi="Arial"/>
          <w:sz w:val="22"/>
        </w:rPr>
        <w:t>，连续空值超5天的单只股票数据直接删除；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异常值处理：所有因子/交易字段</w:t>
      </w:r>
      <w:r>
        <w:rPr>
          <w:rFonts w:eastAsia="等线" w:ascii="Arial" w:cs="Arial" w:hAnsi="Arial"/>
          <w:b w:val="true"/>
          <w:sz w:val="22"/>
        </w:rPr>
        <w:t>统一剔除首尾1%极值</w:t>
      </w:r>
      <w:r>
        <w:rPr>
          <w:rFonts w:eastAsia="等线" w:ascii="Arial" w:cs="Arial" w:hAnsi="Arial"/>
          <w:sz w:val="22"/>
        </w:rPr>
        <w:t>，无需3σ原则或行业替换；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数据标准化：对所有因子字段（PE/PB/ROE/换手率/总市值）做</w:t>
      </w:r>
      <w:r>
        <w:rPr>
          <w:rFonts w:eastAsia="等线" w:ascii="Arial" w:cs="Arial" w:hAnsi="Arial"/>
          <w:b w:val="true"/>
          <w:sz w:val="22"/>
        </w:rPr>
        <w:t>全样本Z-score标准化</w:t>
      </w:r>
      <w:r>
        <w:rPr>
          <w:rFonts w:eastAsia="等线" w:ascii="Arial" w:cs="Arial" w:hAnsi="Arial"/>
          <w:sz w:val="22"/>
        </w:rPr>
        <w:t>，公式：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标准化值=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原始值-全样本均值</m:t>
            </m:r>
          </m:e>
        </m:d>
        <m:r>
          <w:rPr>
            <w:rFonts w:ascii="Cambria Math" w:hAnsi="Cambria Math"/>
          </w:rPr>
          <m:t>/全样本标准差</m:t>
        </m:r>
      </m:oMath>
      <w:r>
        <w:rPr>
          <w:rFonts w:eastAsia="等线" w:ascii="Arial" w:cs="Arial" w:hAnsi="Arial"/>
          <w:sz w:val="22"/>
        </w:rPr>
        <w:t>，输出标准化后数据集；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一致性校验：检查涨跌幅/收益率计算无明显误差（|收益率|&gt;20%标记为异常并删除），确保数据无逻辑错误。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（3）输出结果（必须全部生成，用于论文撰写）</w:t>
      </w:r>
      <w:bookmarkEnd w:id="18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数据文件：</w:t>
      </w:r>
      <w:r>
        <w:rPr>
          <w:rFonts w:eastAsia="Consolas" w:ascii="Consolas" w:cs="Consolas" w:hAnsi="Consolas"/>
          <w:sz w:val="22"/>
          <w:shd w:fill="EFF0F1"/>
        </w:rPr>
        <w:t>raw_data.csv</w:t>
      </w:r>
      <w:r>
        <w:rPr>
          <w:rFonts w:eastAsia="等线" w:ascii="Arial" w:cs="Arial" w:hAnsi="Arial"/>
          <w:sz w:val="22"/>
        </w:rPr>
        <w:t>（原始数据）、</w:t>
      </w:r>
      <w:r>
        <w:rPr>
          <w:rFonts w:eastAsia="Consolas" w:ascii="Consolas" w:cs="Consolas" w:hAnsi="Consolas"/>
          <w:sz w:val="22"/>
          <w:shd w:fill="EFF0F1"/>
        </w:rPr>
        <w:t>clean_data.csv</w:t>
      </w:r>
      <w:r>
        <w:rPr>
          <w:rFonts w:eastAsia="等线" w:ascii="Arial" w:cs="Arial" w:hAnsi="Arial"/>
          <w:sz w:val="22"/>
        </w:rPr>
        <w:t>（预处理后最终数据），格式为CSV，编码UTF-8；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质控报告：</w:t>
      </w:r>
      <w:r>
        <w:rPr>
          <w:rFonts w:eastAsia="Consolas" w:ascii="Consolas" w:cs="Consolas" w:hAnsi="Consolas"/>
          <w:sz w:val="22"/>
          <w:shd w:fill="EFF0F1"/>
        </w:rPr>
        <w:t>data_quality_report.md</w:t>
      </w:r>
      <w:r>
        <w:rPr>
          <w:rFonts w:eastAsia="等线" w:ascii="Arial" w:cs="Arial" w:hAnsi="Arial"/>
          <w:sz w:val="22"/>
        </w:rPr>
        <w:t>（简单版，含清洗前/后样本量、缺失值占比、异常值剔除数量等关键指标，200字左右）；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基础图表：Matplotlib绘制</w:t>
      </w:r>
      <w:r>
        <w:rPr>
          <w:rFonts w:eastAsia="等线" w:ascii="Arial" w:cs="Arial" w:hAnsi="Arial"/>
          <w:b w:val="true"/>
          <w:sz w:val="22"/>
        </w:rPr>
        <w:t>数据清洗前后缺失值占比对比柱状图</w:t>
      </w:r>
      <w:r>
        <w:rPr>
          <w:rFonts w:eastAsia="等线" w:ascii="Arial" w:cs="Arial" w:hAnsi="Arial"/>
          <w:sz w:val="22"/>
        </w:rPr>
        <w:t>，标注清晰（标题/坐标轴/图例）。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 论文撰写要求</w:t>
      </w:r>
      <w:bookmarkEnd w:id="19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章节名称：第3章 数据来源与预处理；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字数：1000字左右；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核心内容：数据来源（Wind/CSMAR，说明数据时间/样本/字段）→ 数据预处理步骤（按技术实现顺序详细说明，解释“为什么这么处理”，如“前向填充适合时间序列数据，避免样本量过度损失”）→ 数据质控结果（展示缺失值/异常值处理结果，附质控报告和对比图表）→ 预处理后数据特征（样本量、字段分布等）；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要求：步骤清晰，对应技术实现，图表嵌入正文，标注图号和说明。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阶段2：因子体系构建与有效性检验（技术核心，论文第4章）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1. 技术实现需求</w:t>
      </w:r>
      <w:bookmarkEnd w:id="2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（1）输入数据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阶段1输出的</w:t>
      </w:r>
      <w:r>
        <w:rPr>
          <w:rFonts w:eastAsia="Consolas" w:ascii="Consolas" w:cs="Consolas" w:hAnsi="Consolas"/>
          <w:sz w:val="22"/>
          <w:shd w:fill="EFF0F1"/>
        </w:rPr>
        <w:t>clean_data.csv</w:t>
      </w:r>
      <w:r>
        <w:rPr>
          <w:rFonts w:eastAsia="等线" w:ascii="Arial" w:cs="Arial" w:hAnsi="Arial"/>
          <w:sz w:val="22"/>
        </w:rPr>
        <w:t>（预处理后数据）、申万一级行业分类表（简易版，含股票代码+行业名称，可从Wind/网络获取，无需精准匹配，保证80%以上股票匹配成功即可）。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r>
        <w:rPr>
          <w:rFonts w:eastAsia="等线" w:ascii="Arial" w:cs="Arial" w:hAnsi="Arial"/>
          <w:b w:val="true"/>
          <w:sz w:val="24"/>
        </w:rPr>
        <w:t>（2）处理步骤（严格按此执行，简化中性化公式）</w:t>
      </w:r>
      <w:bookmarkEnd w:id="23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因子筛选：从预处理后数据中选取</w:t>
      </w:r>
      <w:r>
        <w:rPr>
          <w:rFonts w:eastAsia="等线" w:ascii="Arial" w:cs="Arial" w:hAnsi="Arial"/>
          <w:b w:val="true"/>
          <w:sz w:val="22"/>
        </w:rPr>
        <w:t>3-5个核心因子</w:t>
      </w:r>
      <w:r>
        <w:rPr>
          <w:rFonts w:eastAsia="等线" w:ascii="Arial" w:cs="Arial" w:hAnsi="Arial"/>
          <w:sz w:val="22"/>
        </w:rPr>
        <w:t>（固定组合，不可增加）：估值类（PE(TTM)、PB(LF)）、盈利类（ROE）、交易类（换手率）、规模类（总市值）；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行业中性化处理：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第一步：将股票代码与申万一级行业分类匹配，为每只股票添加“行业名称”字段；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第二步：用</w:t>
      </w:r>
      <w:r>
        <w:rPr>
          <w:rFonts w:eastAsia="等线" w:ascii="Arial" w:cs="Arial" w:hAnsi="Arial"/>
          <w:b w:val="true"/>
          <w:sz w:val="22"/>
        </w:rPr>
        <w:t>简化版线性回归法做行业中性化</w:t>
      </w:r>
      <w:r>
        <w:rPr>
          <w:rFonts w:eastAsia="等线" w:ascii="Arial" w:cs="Arial" w:hAnsi="Arial"/>
          <w:sz w:val="22"/>
        </w:rPr>
        <w:t>，仅剔除行业干扰，公式：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中性化因子值=原始标准化因子值-α-β×行业虚拟变量</m:t>
        </m:r>
      </m:oMath>
      <w:r>
        <w:rPr>
          <w:rFonts w:eastAsia="等线" w:ascii="Arial" w:cs="Arial" w:hAnsi="Arial"/>
          <w:sz w:val="22"/>
        </w:rPr>
        <w:t>（α为截距项，β为行业系数，行业虚拟变量按“哑变量处理”，如金融行业=1，其他=0）；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第三步：对所有因子完成中性化处理，输出中性化后因子数据集；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因子有效性检验：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核心指标：仅计算</w:t>
      </w:r>
      <w:r>
        <w:rPr>
          <w:rFonts w:eastAsia="等线" w:ascii="Arial" w:cs="Arial" w:hAnsi="Arial"/>
          <w:b w:val="true"/>
          <w:sz w:val="22"/>
        </w:rPr>
        <w:t>IC值（信息系数）</w:t>
      </w:r>
      <w:r>
        <w:rPr>
          <w:rFonts w:eastAsia="等线" w:ascii="Arial" w:cs="Arial" w:hAnsi="Arial"/>
          <w:sz w:val="22"/>
        </w:rPr>
        <w:t>，无需IR值，IC值为</w:t>
      </w:r>
      <w:r>
        <w:rPr>
          <w:rFonts w:eastAsia="等线" w:ascii="Arial" w:cs="Arial" w:hAnsi="Arial"/>
          <w:b w:val="true"/>
          <w:sz w:val="22"/>
        </w:rPr>
        <w:t>因子值与股票未来10天收益率的秩相关系数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筛选标准：按**|IC值|&gt;0.03**筛选有效因子，无需严格卡0.05；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计算方式：滚动计算2018-2023年各因子IC值，取均值作为最终IC值，判断因子有效性。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b w:val="true"/>
          <w:sz w:val="24"/>
        </w:rPr>
        <w:t>（3）输出结果（必须全部生成，用于论文撰写）</w:t>
      </w:r>
      <w:bookmarkEnd w:id="2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数据文件：</w:t>
      </w:r>
      <w:r>
        <w:rPr>
          <w:rFonts w:eastAsia="Consolas" w:ascii="Consolas" w:cs="Consolas" w:hAnsi="Consolas"/>
          <w:sz w:val="22"/>
          <w:shd w:fill="EFF0F1"/>
        </w:rPr>
        <w:t>industry_data.csv</w:t>
      </w:r>
      <w:r>
        <w:rPr>
          <w:rFonts w:eastAsia="等线" w:ascii="Arial" w:cs="Arial" w:hAnsi="Arial"/>
          <w:sz w:val="22"/>
        </w:rPr>
        <w:t>（匹配行业标签后数据）、</w:t>
      </w:r>
      <w:r>
        <w:rPr>
          <w:rFonts w:eastAsia="Consolas" w:ascii="Consolas" w:cs="Consolas" w:hAnsi="Consolas"/>
          <w:sz w:val="22"/>
          <w:shd w:fill="EFF0F1"/>
        </w:rPr>
        <w:t>neutral_data.csv</w:t>
      </w:r>
      <w:r>
        <w:rPr>
          <w:rFonts w:eastAsia="等线" w:ascii="Arial" w:cs="Arial" w:hAnsi="Arial"/>
          <w:sz w:val="22"/>
        </w:rPr>
        <w:t>（中性化后最终因子数据）、</w:t>
      </w:r>
      <w:r>
        <w:rPr>
          <w:rFonts w:eastAsia="Consolas" w:ascii="Consolas" w:cs="Consolas" w:hAnsi="Consolas"/>
          <w:sz w:val="22"/>
          <w:shd w:fill="EFF0F1"/>
        </w:rPr>
        <w:t>factor_ic_result.csv</w:t>
      </w:r>
      <w:r>
        <w:rPr>
          <w:rFonts w:eastAsia="等线" w:ascii="Arial" w:cs="Arial" w:hAnsi="Arial"/>
          <w:sz w:val="22"/>
        </w:rPr>
        <w:t>（各因子IC值计算结果，含因子名称/IC均值/是否有效）；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基础图表：Matplotlib绘制</w:t>
      </w:r>
      <w:r>
        <w:rPr>
          <w:rFonts w:eastAsia="等线" w:ascii="Arial" w:cs="Arial" w:hAnsi="Arial"/>
          <w:b w:val="true"/>
          <w:sz w:val="22"/>
        </w:rPr>
        <w:t>各核心因子IC值柱状图</w:t>
      </w:r>
      <w:r>
        <w:rPr>
          <w:rFonts w:eastAsia="等线" w:ascii="Arial" w:cs="Arial" w:hAnsi="Arial"/>
          <w:sz w:val="22"/>
        </w:rPr>
        <w:t>（标注有效因子筛选线|IC|=0.03，不同颜色区分有效/无效因子）；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因子说明：</w:t>
      </w:r>
      <w:r>
        <w:rPr>
          <w:rFonts w:eastAsia="Consolas" w:ascii="Consolas" w:cs="Consolas" w:hAnsi="Consolas"/>
          <w:sz w:val="22"/>
          <w:shd w:fill="EFF0F1"/>
        </w:rPr>
        <w:t>factor_explain.md</w:t>
      </w:r>
      <w:r>
        <w:rPr>
          <w:rFonts w:eastAsia="等线" w:ascii="Arial" w:cs="Arial" w:hAnsi="Arial"/>
          <w:sz w:val="22"/>
        </w:rPr>
        <w:t>（说明因子选择依据，如“PE(TTM)是经典估值因子，反映股票估值水平，是多因子选股的核心因子之一”，100字左右）。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 论文撰写要求</w:t>
      </w:r>
      <w:bookmarkEnd w:id="2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章节名称：第4章 因子体系构建与有效性检验；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字数：1500字左右；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核心内容：因子选择依据（结合多因子理论，说明3-5个核心因子的选股逻辑）→ 行业中性化原理与实现（解释行业中性化的必要性，如“剔除A股行业轮动干扰，提纯因子本身的选股能力”，展示简化版公式，说明实现步骤）→ 因子有效性检验（解释IC值的含义与筛选标准，展示各因子IC值计算结果，附柱状图，明确最终有效因子列表）→ 中性化后因子特征（简单说明因子分布变化）；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要求：结合多因子理论，公式正确，图表嵌入正文，有效因子结果明确，为后续模型训练铺垫。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阶段3：模型设计与训练（技术核心，论文第5章）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1. 技术实现需求</w:t>
      </w:r>
      <w:bookmarkEnd w:id="2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" w:id="28"/>
      <w:r>
        <w:rPr>
          <w:rFonts w:eastAsia="等线" w:ascii="Arial" w:cs="Arial" w:hAnsi="Arial"/>
          <w:b w:val="true"/>
          <w:sz w:val="24"/>
        </w:rPr>
        <w:t>（1）输入数据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阶段2输出的</w:t>
      </w:r>
      <w:r>
        <w:rPr>
          <w:rFonts w:eastAsia="Consolas" w:ascii="Consolas" w:cs="Consolas" w:hAnsi="Consolas"/>
          <w:sz w:val="22"/>
          <w:shd w:fill="EFF0F1"/>
        </w:rPr>
        <w:t>neutral_data.csv</w:t>
      </w:r>
      <w:r>
        <w:rPr>
          <w:rFonts w:eastAsia="等线" w:ascii="Arial" w:cs="Arial" w:hAnsi="Arial"/>
          <w:sz w:val="22"/>
        </w:rPr>
        <w:t>（中性化后有效因子数据）、沪深300指数日度收益率数据。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9" w:id="29"/>
      <w:r>
        <w:rPr>
          <w:rFonts w:eastAsia="等线" w:ascii="Arial" w:cs="Arial" w:hAnsi="Arial"/>
          <w:b w:val="true"/>
          <w:sz w:val="24"/>
        </w:rPr>
        <w:t>（2）处理步骤（严格按此执行，聚焦单模型，简化验证）</w:t>
      </w:r>
      <w:bookmarkEnd w:id="29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数据集划分：按</w:t>
      </w:r>
      <w:r>
        <w:rPr>
          <w:rFonts w:eastAsia="等线" w:ascii="Arial" w:cs="Arial" w:hAnsi="Arial"/>
          <w:b w:val="true"/>
          <w:sz w:val="22"/>
        </w:rPr>
        <w:t>时间序列划分</w:t>
      </w:r>
      <w:r>
        <w:rPr>
          <w:rFonts w:eastAsia="等线" w:ascii="Arial" w:cs="Arial" w:hAnsi="Arial"/>
          <w:sz w:val="22"/>
        </w:rPr>
        <w:t>（避免未来数据泄露，核心原则），2018.01-2020.12为</w:t>
      </w:r>
      <w:r>
        <w:rPr>
          <w:rFonts w:eastAsia="等线" w:ascii="Arial" w:cs="Arial" w:hAnsi="Arial"/>
          <w:b w:val="true"/>
          <w:sz w:val="22"/>
        </w:rPr>
        <w:t>训练集</w:t>
      </w:r>
      <w:r>
        <w:rPr>
          <w:rFonts w:eastAsia="等线" w:ascii="Arial" w:cs="Arial" w:hAnsi="Arial"/>
          <w:sz w:val="22"/>
        </w:rPr>
        <w:t>，2021.01-2023.12为</w:t>
      </w:r>
      <w:r>
        <w:rPr>
          <w:rFonts w:eastAsia="等线" w:ascii="Arial" w:cs="Arial" w:hAnsi="Arial"/>
          <w:b w:val="true"/>
          <w:sz w:val="22"/>
        </w:rPr>
        <w:t>测试集</w:t>
      </w:r>
      <w:r>
        <w:rPr>
          <w:rFonts w:eastAsia="等线" w:ascii="Arial" w:cs="Arial" w:hAnsi="Arial"/>
          <w:sz w:val="22"/>
        </w:rPr>
        <w:t>，划分比例约1:1，无需交叉验证；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选股标签构建：构建</w:t>
      </w:r>
      <w:r>
        <w:rPr>
          <w:rFonts w:eastAsia="等线" w:ascii="Arial" w:cs="Arial" w:hAnsi="Arial"/>
          <w:b w:val="true"/>
          <w:sz w:val="22"/>
        </w:rPr>
        <w:t>二分类标签</w:t>
      </w:r>
      <w:r>
        <w:rPr>
          <w:rFonts w:eastAsia="等线" w:ascii="Arial" w:cs="Arial" w:hAnsi="Arial"/>
          <w:sz w:val="22"/>
        </w:rPr>
        <w:t>，作为模型预测目标，规则：单只股票</w:t>
      </w:r>
      <w:r>
        <w:rPr>
          <w:rFonts w:eastAsia="等线" w:ascii="Arial" w:cs="Arial" w:hAnsi="Arial"/>
          <w:b w:val="true"/>
          <w:sz w:val="22"/>
        </w:rPr>
        <w:t>未来10天收益率跑赢沪深300同期收益率</w:t>
      </w:r>
      <w:r>
        <w:rPr>
          <w:rFonts w:eastAsia="等线" w:ascii="Arial" w:cs="Arial" w:hAnsi="Arial"/>
          <w:sz w:val="22"/>
        </w:rPr>
        <w:t>则标签=1（选股成功），否则标签=0（选股失败），标签与因子数据按时间匹配，无未来数据泄露；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模型训练：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核心模型：仅训练</w:t>
      </w:r>
      <w:r>
        <w:rPr>
          <w:rFonts w:eastAsia="等线" w:ascii="Arial" w:cs="Arial" w:hAnsi="Arial"/>
          <w:b w:val="true"/>
          <w:sz w:val="22"/>
        </w:rPr>
        <w:t>XGBoost模型</w:t>
      </w:r>
      <w:r>
        <w:rPr>
          <w:rFonts w:eastAsia="等线" w:ascii="Arial" w:cs="Arial" w:hAnsi="Arial"/>
          <w:sz w:val="22"/>
        </w:rPr>
        <w:t>（本科亮点），无需复杂参数调优，使用默认参数仅调整2个关键参数：</w:t>
      </w:r>
      <w:r>
        <w:rPr>
          <w:rFonts w:eastAsia="Consolas" w:ascii="Consolas" w:cs="Consolas" w:hAnsi="Consolas"/>
          <w:sz w:val="22"/>
          <w:shd w:fill="EFF0F1"/>
        </w:rPr>
        <w:t>learning_rate=0.1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n_estimators=50</w:t>
      </w:r>
      <w:r>
        <w:rPr>
          <w:rFonts w:eastAsia="等线" w:ascii="Arial" w:cs="Arial" w:hAnsi="Arial"/>
          <w:sz w:val="22"/>
        </w:rPr>
        <w:t>，其余参数默认；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对比项：无需训练LR/RF模型，直接以</w:t>
      </w:r>
      <w:r>
        <w:rPr>
          <w:rFonts w:eastAsia="等线" w:ascii="Arial" w:cs="Arial" w:hAnsi="Arial"/>
          <w:b w:val="true"/>
          <w:sz w:val="22"/>
        </w:rPr>
        <w:t>沪深300基准收益率</w:t>
      </w:r>
      <w:r>
        <w:rPr>
          <w:rFonts w:eastAsia="等线" w:ascii="Arial" w:cs="Arial" w:hAnsi="Arial"/>
          <w:sz w:val="22"/>
        </w:rPr>
        <w:t>作为对比，聚焦XGBoost模型的优势；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训练过程：用训练集拟合XGBoost模型，测试集验证模型预测准确率（预测标签与实际标签的匹配度）；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因子重要性分析：利用XGBoost模型自带功能，计算并输出有效因子的重要性排序。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" w:id="30"/>
      <w:r>
        <w:rPr>
          <w:rFonts w:eastAsia="等线" w:ascii="Arial" w:cs="Arial" w:hAnsi="Arial"/>
          <w:b w:val="true"/>
          <w:sz w:val="24"/>
        </w:rPr>
        <w:t>（3）输出结果（必须全部生成，用于论文撰写）</w:t>
      </w:r>
      <w:bookmarkEnd w:id="30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数据文件：</w:t>
      </w:r>
      <w:r>
        <w:rPr>
          <w:rFonts w:eastAsia="Consolas" w:ascii="Consolas" w:cs="Consolas" w:hAnsi="Consolas"/>
          <w:sz w:val="22"/>
          <w:shd w:fill="EFF0F1"/>
        </w:rPr>
        <w:t>train_data.csv</w:t>
      </w:r>
      <w:r>
        <w:rPr>
          <w:rFonts w:eastAsia="等线" w:ascii="Arial" w:cs="Arial" w:hAnsi="Arial"/>
          <w:sz w:val="22"/>
        </w:rPr>
        <w:t>（训练集）、</w:t>
      </w:r>
      <w:r>
        <w:rPr>
          <w:rFonts w:eastAsia="Consolas" w:ascii="Consolas" w:cs="Consolas" w:hAnsi="Consolas"/>
          <w:sz w:val="22"/>
          <w:shd w:fill="EFF0F1"/>
        </w:rPr>
        <w:t>test_data.csv</w:t>
      </w:r>
      <w:r>
        <w:rPr>
          <w:rFonts w:eastAsia="等线" w:ascii="Arial" w:cs="Arial" w:hAnsi="Arial"/>
          <w:sz w:val="22"/>
        </w:rPr>
        <w:t>（测试集）、</w:t>
      </w:r>
      <w:r>
        <w:rPr>
          <w:rFonts w:eastAsia="Consolas" w:ascii="Consolas" w:cs="Consolas" w:hAnsi="Consolas"/>
          <w:sz w:val="22"/>
          <w:shd w:fill="EFF0F1"/>
        </w:rPr>
        <w:t>model_result.csv</w:t>
      </w:r>
      <w:r>
        <w:rPr>
          <w:rFonts w:eastAsia="等线" w:ascii="Arial" w:cs="Arial" w:hAnsi="Arial"/>
          <w:sz w:val="22"/>
        </w:rPr>
        <w:t>（模型预测结果，含股票代码/日期/预测标签/实际标签/预测准确率）；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模型文件：</w:t>
      </w:r>
      <w:r>
        <w:rPr>
          <w:rFonts w:eastAsia="Consolas" w:ascii="Consolas" w:cs="Consolas" w:hAnsi="Consolas"/>
          <w:sz w:val="22"/>
          <w:shd w:fill="EFF0F1"/>
        </w:rPr>
        <w:t>xgb_model.pkl</w:t>
      </w:r>
      <w:r>
        <w:rPr>
          <w:rFonts w:eastAsia="等线" w:ascii="Arial" w:cs="Arial" w:hAnsi="Arial"/>
          <w:sz w:val="22"/>
        </w:rPr>
        <w:t>（保存训练好的XGBoost模型，使用joblib/pickle保存）；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基础图表：①Matplotlib绘制</w:t>
      </w:r>
      <w:r>
        <w:rPr>
          <w:rFonts w:eastAsia="等线" w:ascii="Arial" w:cs="Arial" w:hAnsi="Arial"/>
          <w:b w:val="true"/>
          <w:sz w:val="22"/>
        </w:rPr>
        <w:t>XGBoost模型测试集预测准确率折线图</w:t>
      </w:r>
      <w:r>
        <w:rPr>
          <w:rFonts w:eastAsia="等线" w:ascii="Arial" w:cs="Arial" w:hAnsi="Arial"/>
          <w:sz w:val="22"/>
        </w:rPr>
        <w:t xml:space="preserve"> ②Matplotlib绘制</w:t>
      </w:r>
      <w:r>
        <w:rPr>
          <w:rFonts w:eastAsia="等线" w:ascii="Arial" w:cs="Arial" w:hAnsi="Arial"/>
          <w:b w:val="true"/>
          <w:sz w:val="22"/>
        </w:rPr>
        <w:t>有效因子重要性排序柱状图</w:t>
      </w:r>
      <w:r>
        <w:rPr>
          <w:rFonts w:eastAsia="等线" w:ascii="Arial" w:cs="Arial" w:hAnsi="Arial"/>
          <w:sz w:val="22"/>
        </w:rPr>
        <w:t>（按重要性从高到低排列）；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模型报告：</w:t>
      </w:r>
      <w:r>
        <w:rPr>
          <w:rFonts w:eastAsia="Consolas" w:ascii="Consolas" w:cs="Consolas" w:hAnsi="Consolas"/>
          <w:sz w:val="22"/>
          <w:shd w:fill="EFF0F1"/>
        </w:rPr>
        <w:t>model_train_report.md</w:t>
      </w:r>
      <w:r>
        <w:rPr>
          <w:rFonts w:eastAsia="等线" w:ascii="Arial" w:cs="Arial" w:hAnsi="Arial"/>
          <w:sz w:val="22"/>
        </w:rPr>
        <w:t>（简单版，含模型参数、训练集/测试集划分、预测准确率等，200字左右）。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2. 论文撰写要求</w:t>
      </w:r>
      <w:bookmarkEnd w:id="31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章节名称：第5章 选股模型设计与训练；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字数：1500字左右；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核心内容：模型设计思路（结合XGBoost原理，说明“为什么选择XGBoost”，如“能捕捉因子间非线性关系，优于传统线性模型”）→ 数据集划分与标签构建（说明时间序列划分的必要性，避免未来数据泄露；解释二分类标签构建规则，呼应选股目标）→ 模型参数设置（说明核心参数选择依据，其余参数默认）→ 模型训练过程与结果（展示训练集拟合与测试集验证结果，附准确率图表；展示因子重要性排序，分析“哪些因子对选股最关键”）→ 模型有效性初步验证（说明预测准确率能支撑后续回测）；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要求：结合XGBoost基础理论，参数与结果对应技术实现，图表嵌入正文。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阶段4：回测验证与结果分析（技术核心，论文第6章）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1. 技术实现需求</w:t>
      </w:r>
      <w:bookmarkEnd w:id="3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4" w:id="34"/>
      <w:r>
        <w:rPr>
          <w:rFonts w:eastAsia="等线" w:ascii="Arial" w:cs="Arial" w:hAnsi="Arial"/>
          <w:b w:val="true"/>
          <w:sz w:val="24"/>
        </w:rPr>
        <w:t>（1）输入数据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阶段3输出的</w:t>
      </w:r>
      <w:r>
        <w:rPr>
          <w:rFonts w:eastAsia="Consolas" w:ascii="Consolas" w:cs="Consolas" w:hAnsi="Consolas"/>
          <w:sz w:val="22"/>
          <w:shd w:fill="EFF0F1"/>
        </w:rPr>
        <w:t>test_data.csv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xgb_model.pkl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model_result.csv</w:t>
      </w:r>
      <w:r>
        <w:rPr>
          <w:rFonts w:eastAsia="等线" w:ascii="Arial" w:cs="Arial" w:hAnsi="Arial"/>
          <w:sz w:val="22"/>
        </w:rPr>
        <w:t>，沪深300指数2021-2023年日度收益率/累计收益率数据。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5" w:id="35"/>
      <w:r>
        <w:rPr>
          <w:rFonts w:eastAsia="等线" w:ascii="Arial" w:cs="Arial" w:hAnsi="Arial"/>
          <w:b w:val="true"/>
          <w:sz w:val="24"/>
        </w:rPr>
        <w:t>（2）处理步骤（严格按此执行，半手动简化回测，无需Backtrader复杂框架）</w:t>
      </w:r>
      <w:bookmarkEnd w:id="35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回测基础设置（贴合A股规则，简化版）：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回测时间：2021.01-2023.12（与测试集一致）；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交易规则：T+1交易、单边手续费0.1%、总仓位80%（无需单只股票仓位限制）；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选股逻辑：每日根据XGBoost模型预测结果，筛选</w:t>
      </w:r>
      <w:r>
        <w:rPr>
          <w:rFonts w:eastAsia="等线" w:ascii="Arial" w:cs="Arial" w:hAnsi="Arial"/>
          <w:b w:val="true"/>
          <w:sz w:val="22"/>
        </w:rPr>
        <w:t>标签=1（选股成功）</w:t>
      </w:r>
      <w:r>
        <w:rPr>
          <w:rFonts w:eastAsia="等线" w:ascii="Arial" w:cs="Arial" w:hAnsi="Arial"/>
          <w:sz w:val="22"/>
        </w:rPr>
        <w:t xml:space="preserve"> 的股票，按等权配置（选中股票数量不固定，≥10只即可）；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半手动回测计算（Python/Excel均可实现）：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第一步：按日计算选中股票的等权日度收益率，扣除0.1%单边手续费（仅在调仓时扣除，每月调仓1次即可，简化调仓频率）；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第二步：计算XGBoost模型的日度/月度/年化收益率、累计收益率；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第三步：计算沪深300基准同期的年化收益率、累计收益率；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核心指标计算（仅计算3个核心指标，无需多指标）：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年化收益率：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年化收益率=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1+累计收益率</m:t>
                </m:r>
              </m:e>
            </m:d>
          </m:e>
          <m:sup>
            <m:r>
              <w:rPr>
                <w:rFonts w:ascii="Cambria Math" w:hAnsi="Cambria Math"/>
              </w:rPr>
              <m:t>250/回测交易日数</m:t>
            </m:r>
          </m:sup>
        </m:sSup>
        <m:r>
          <w:rPr>
            <w:rFonts w:ascii="Cambria Math" w:hAnsi="Cambria Math"/>
          </w:rPr>
          <m:t>-1</m:t>
        </m:r>
      </m:oMath>
      <w:r>
        <w:rPr>
          <w:rFonts w:eastAsia="等线" w:ascii="Arial" w:cs="Arial" w:hAnsi="Arial"/>
          <w:sz w:val="22"/>
        </w:rPr>
        <w:t>（250为A股年交易日数）；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夏普比率：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夏普比率=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年化收益率-无风险收益率</m:t>
            </m:r>
          </m:e>
        </m:d>
        <m:r>
          <w:rPr>
            <w:rFonts w:ascii="Cambria Math" w:hAnsi="Cambria Math"/>
          </w:rPr>
          <m:t>/年化收益率标准差</m:t>
        </m:r>
      </m:oMath>
      <w:r>
        <w:rPr>
          <w:rFonts w:eastAsia="等线" w:ascii="Arial" w:cs="Arial" w:hAnsi="Arial"/>
          <w:sz w:val="22"/>
        </w:rPr>
        <w:t>（无风险收益率固定设为3%，一年期定期存款利率）；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最大回撤：</w:t>
      </w: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最大回撤=(区间内最高净值-当前净值)/区间内最高净值×100%</w:t>
        </m:r>
      </m:oMath>
      <w:r>
        <w:rPr>
          <w:rFonts w:eastAsia="等线" w:ascii="Arial" w:cs="Arial" w:hAnsi="Arial"/>
          <w:sz w:val="22"/>
        </w:rPr>
        <w:t>，计算回测期间的最大回撤值；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结果对比：将XGBoost模型的3个核心指标与沪深300基准做对比，判断模型选股优势。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6" w:id="36"/>
      <w:r>
        <w:rPr>
          <w:rFonts w:eastAsia="等线" w:ascii="Arial" w:cs="Arial" w:hAnsi="Arial"/>
          <w:b w:val="true"/>
          <w:sz w:val="24"/>
        </w:rPr>
        <w:t>（3）输出结果（必须全部生成，用于论文撰写）</w:t>
      </w:r>
      <w:bookmarkEnd w:id="36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回测数据：</w:t>
      </w:r>
      <w:r>
        <w:rPr>
          <w:rFonts w:eastAsia="Consolas" w:ascii="Consolas" w:cs="Consolas" w:hAnsi="Consolas"/>
          <w:sz w:val="22"/>
          <w:shd w:fill="EFF0F1"/>
        </w:rPr>
        <w:t>backtest_result.csv</w:t>
      </w:r>
      <w:r>
        <w:rPr>
          <w:rFonts w:eastAsia="等线" w:ascii="Arial" w:cs="Arial" w:hAnsi="Arial"/>
          <w:sz w:val="22"/>
        </w:rPr>
        <w:t>（含XGBoost模型与沪深300基准的日度收益率/累计收益率/核心指标对比）；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基础图表：Matplotlib绘制</w:t>
      </w:r>
      <w:r>
        <w:rPr>
          <w:rFonts w:eastAsia="等线" w:ascii="Arial" w:cs="Arial" w:hAnsi="Arial"/>
          <w:b w:val="true"/>
          <w:sz w:val="22"/>
        </w:rPr>
        <w:t>XGBoost模型与沪深300基准2021-2023年累计收益对比折线图</w:t>
      </w:r>
      <w:r>
        <w:rPr>
          <w:rFonts w:eastAsia="等线" w:ascii="Arial" w:cs="Arial" w:hAnsi="Arial"/>
          <w:sz w:val="22"/>
        </w:rPr>
        <w:t>（不同颜色区分，标注关键时间节点的收益率）；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回测报告：</w:t>
      </w:r>
      <w:r>
        <w:rPr>
          <w:rFonts w:eastAsia="Consolas" w:ascii="Consolas" w:cs="Consolas" w:hAnsi="Consolas"/>
          <w:sz w:val="22"/>
          <w:shd w:fill="EFF0F1"/>
        </w:rPr>
        <w:t>backtest_report.md</w:t>
      </w:r>
      <w:r>
        <w:rPr>
          <w:rFonts w:eastAsia="等线" w:ascii="Arial" w:cs="Arial" w:hAnsi="Arial"/>
          <w:sz w:val="22"/>
        </w:rPr>
        <w:t>（简单版，含回测规则、核心指标结果、对比分析，300字左右）。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2. 论文撰写要求</w:t>
      </w:r>
      <w:bookmarkEnd w:id="37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章节名称：第6章 选股模型回测与结果分析；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字数：1500字左右；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核心内容：回测设计（说明回测时间/交易规则/选股逻辑，解释“为什么这么设置”，如“等权配置简化计算，适合本科研究”）→ 回测指标说明（解释年化收益率/夏普比率/最大回撤的含义，说明计算方法）→ 回测结果展示（展示XGBoost模型与沪深300基准的核心指标对比，附对比表格；展示累计收益对比折线图）→ 结果深度分析（分析“XGBoost模型为什么能跑赢基准”，结合因子重要性和模型原理，如“有效因子的提纯+非线性模型的精准预测提升了选股准确率”；客观说明模型不足，如“调仓频率低，未考虑交易滑点”）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要求：指标计算正确，对比清晰，图表/表格嵌入正文，分析结合前文理论与技术结果，逻辑自洽。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阶段5：论文绪论+理论基础+结论与展望（纯撰写，论文第1/2/7章）</w:t>
      </w:r>
      <w:bookmarkEnd w:id="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1. 第1章 绪论（1500字左右）</w:t>
      </w:r>
      <w:bookmarkEnd w:id="39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核心内容：研究背景（A股市场特征：行业轮动明显，沪深300作为核心指数的选股需求；传统多因子选股模型的不足）→ 研究意义（理论意义：丰富沪深300选股的量化方法；实践意义：为普通投资者提供简单可行的选股思路）→ 研究范围与内容（明确研究时间/样本/因子/模型，概述论文核心内容）→ 研究方法与技术路线（量化研究法、实证分析法，绘制论文技术路线图，即“数据→预处理→因子→模型→回测”）→ 论文结构（简要介绍各章节内容）；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要求：背景贴合A股市场，研究意义明确，技术路线图清晰。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2. 第2章 理论基础与文献综述（1500字左右）</w:t>
      </w:r>
      <w:bookmarkEnd w:id="40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理论基础（分三部分，各500字左右，不推导复杂公式，重核心逻辑）：①多因子模型基础（马科维茨资产组合、Fama-French三因子模型，说明“多因子选股的核心逻辑是通过多个因子捕捉股票收益特征”）；②行业中性化原理（说明“行业中性化的目的是剔除行业β干扰，聚焦因子α收益，适配A股行业轮动特征”）；③XGBoost模型基础（说明XGBoost的核心优势：梯度提升、处理非线性关系、适合小样本量化研究）；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文献综述（述评结合，3-5篇中文核心+2-3篇英文顶刊）：梳理国内外多因子选股、行业中性化、机器学习在量化选股中的应用研究现状→ 指出现有研究缺口（如“现有研究多未将行业中性化与XGBoost结合应用于沪深300成分股，且本科研究中相关简化应用较少”）→ 明确本文研究切入点（针对研究缺口，构建“行业中性化+XGBoost”的沪深300选股模型）；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要求：理论支撑论文核心方法，文献综述紧扣选题，研究缺口明确。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3. 第7章 结论与展望（800字左右）</w:t>
      </w:r>
      <w:bookmarkEnd w:id="41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研究结论（总结论文核心研究成果，分3点左右，如“①3-5个核心因子中XX因子选股能力最强；②行业中性化能有效提纯因子选股能力；③XGBoost模型跑赢沪深300基准，选股效果更优”，所有结论均有数据/回测结果支撑）→ 研究不足（客观说明本科研究的局限性，如“因子数量较少、回测规则简化、未考虑交易滑点、样本周期有限”）→ 未来研究展望（针对不足提出可落地的优化方向，如“加入动量/情绪因子、优化回测规则、延长样本周期、结合更多机器学习模型对比”）；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要求：结论不夸大，不足客观，展望贴合实际。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阶段6：论文排版与附录（最终收尾）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1. 论文排版要求</w:t>
      </w:r>
      <w:bookmarkEnd w:id="43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格式：遵循学校本科毕业论文格式规范（字体、行距、页边距、页眉页脚等）；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图表：所有图表嵌入正文，按章节编号（图1-1、表2-1），标注清晰，有图题/表题和详细说明；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参考文献：规范标注（GB/T 7714格式），中文核心3-5篇，英文顶刊2-3篇，普通期刊/学位论文适量补充，总数≥10篇即可；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查重：最终定稿查重率≤15%。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2. 附录要求（必须完整，体现可复现性）</w:t>
      </w:r>
      <w:bookmarkEnd w:id="44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附录A：核心代码（按技术阶段模块化整理，包括数据预处理、因子中性化、模型训练、回测计算代码，每段代码加</w:t>
      </w:r>
      <w:r>
        <w:rPr>
          <w:rFonts w:eastAsia="等线" w:ascii="Arial" w:cs="Arial" w:hAnsi="Arial"/>
          <w:b w:val="true"/>
          <w:sz w:val="22"/>
        </w:rPr>
        <w:t>基础注释</w:t>
      </w:r>
      <w:r>
        <w:rPr>
          <w:rFonts w:eastAsia="等线" w:ascii="Arial" w:cs="Arial" w:hAnsi="Arial"/>
          <w:sz w:val="22"/>
        </w:rPr>
        <w:t>，说明代码功能，无需复杂注释）；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附录B：数据说明（含</w:t>
      </w:r>
      <w:r>
        <w:rPr>
          <w:rFonts w:eastAsia="Consolas" w:ascii="Consolas" w:cs="Consolas" w:hAnsi="Consolas"/>
          <w:sz w:val="22"/>
          <w:shd w:fill="EFF0F1"/>
        </w:rPr>
        <w:t>raw_data.csv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clean_data.csv</w:t>
      </w:r>
      <w:r>
        <w:rPr>
          <w:rFonts w:eastAsia="等线" w:ascii="Arial" w:cs="Arial" w:hAnsi="Arial"/>
          <w:sz w:val="22"/>
        </w:rPr>
        <w:t>等所有数据文件的字段说明、口径、来源）；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附录C：关键截图（数据预处理结果、模型训练结果、回测结果等关键技术实现截图，标注说明）；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附录D：质控报告/模型报告/回测报告（整理所有技术阶段的简单报告，统一排版）。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六、交付物清单（最终必须全部提交，缺一不可）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1. 技术交付物（文件夹命名：01_技术文件）</w:t>
      </w:r>
      <w:bookmarkEnd w:id="46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数据文件夹：</w:t>
      </w:r>
      <w:r>
        <w:rPr>
          <w:rFonts w:eastAsia="Consolas" w:ascii="Consolas" w:cs="Consolas" w:hAnsi="Consolas"/>
          <w:sz w:val="22"/>
          <w:shd w:fill="EFF0F1"/>
        </w:rPr>
        <w:t>data/</w:t>
      </w:r>
      <w:r>
        <w:rPr>
          <w:rFonts w:eastAsia="等线" w:ascii="Arial" w:cs="Arial" w:hAnsi="Arial"/>
          <w:sz w:val="22"/>
        </w:rPr>
        <w:t>，含</w:t>
      </w:r>
      <w:r>
        <w:rPr>
          <w:rFonts w:eastAsia="Consolas" w:ascii="Consolas" w:cs="Consolas" w:hAnsi="Consolas"/>
          <w:sz w:val="22"/>
          <w:shd w:fill="EFF0F1"/>
        </w:rPr>
        <w:t>raw_data.csv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clean_data.csv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industry_data.csv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neutral_data.csv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train_data.csv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test_data.csv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model_result.csv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backtest_result.csv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代码文件夹：</w:t>
      </w:r>
      <w:r>
        <w:rPr>
          <w:rFonts w:eastAsia="Consolas" w:ascii="Consolas" w:cs="Consolas" w:hAnsi="Consolas"/>
          <w:sz w:val="22"/>
          <w:shd w:fill="EFF0F1"/>
        </w:rPr>
        <w:t>code/</w:t>
      </w:r>
      <w:r>
        <w:rPr>
          <w:rFonts w:eastAsia="等线" w:ascii="Arial" w:cs="Arial" w:hAnsi="Arial"/>
          <w:sz w:val="22"/>
        </w:rPr>
        <w:t>，含各阶段Python代码（</w:t>
      </w:r>
      <w:r>
        <w:rPr>
          <w:rFonts w:eastAsia="Consolas" w:ascii="Consolas" w:cs="Consolas" w:hAnsi="Consolas"/>
          <w:sz w:val="22"/>
          <w:shd w:fill="EFF0F1"/>
        </w:rPr>
        <w:t>.py</w:t>
      </w:r>
      <w:r>
        <w:rPr>
          <w:rFonts w:eastAsia="等线" w:ascii="Arial" w:cs="Arial" w:hAnsi="Arial"/>
          <w:sz w:val="22"/>
        </w:rPr>
        <w:t>格式，模块化命名，如</w:t>
      </w:r>
      <w:r>
        <w:rPr>
          <w:rFonts w:eastAsia="Consolas" w:ascii="Consolas" w:cs="Consolas" w:hAnsi="Consolas"/>
          <w:sz w:val="22"/>
          <w:shd w:fill="EFF0F1"/>
        </w:rPr>
        <w:t>01_data_preprocess.py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02_factor_neutral.py</w:t>
      </w:r>
      <w:r>
        <w:rPr>
          <w:rFonts w:eastAsia="等线" w:ascii="Arial" w:cs="Arial" w:hAnsi="Arial"/>
          <w:sz w:val="22"/>
        </w:rPr>
        <w:t>）、模型文件</w:t>
      </w:r>
      <w:r>
        <w:rPr>
          <w:rFonts w:eastAsia="Consolas" w:ascii="Consolas" w:cs="Consolas" w:hAnsi="Consolas"/>
          <w:sz w:val="22"/>
          <w:shd w:fill="EFF0F1"/>
        </w:rPr>
        <w:t>xgb_model.pkl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结果文件夹：</w:t>
      </w:r>
      <w:r>
        <w:rPr>
          <w:rFonts w:eastAsia="Consolas" w:ascii="Consolas" w:cs="Consolas" w:hAnsi="Consolas"/>
          <w:sz w:val="22"/>
          <w:shd w:fill="EFF0F1"/>
        </w:rPr>
        <w:t>result/</w:t>
      </w:r>
      <w:r>
        <w:rPr>
          <w:rFonts w:eastAsia="等线" w:ascii="Arial" w:cs="Arial" w:hAnsi="Arial"/>
          <w:sz w:val="22"/>
        </w:rPr>
        <w:t>，含所有图表（</w:t>
      </w:r>
      <w:r>
        <w:rPr>
          <w:rFonts w:eastAsia="Consolas" w:ascii="Consolas" w:cs="Consolas" w:hAnsi="Consolas"/>
          <w:sz w:val="22"/>
          <w:shd w:fill="EFF0F1"/>
        </w:rPr>
        <w:t>.png</w:t>
      </w:r>
      <w:r>
        <w:rPr>
          <w:rFonts w:eastAsia="等线" w:ascii="Arial" w:cs="Arial" w:hAnsi="Arial"/>
          <w:sz w:val="22"/>
        </w:rPr>
        <w:t>格式，高清）、所有报告（</w:t>
      </w:r>
      <w:r>
        <w:rPr>
          <w:rFonts w:eastAsia="Consolas" w:ascii="Consolas" w:cs="Consolas" w:hAnsi="Consolas"/>
          <w:sz w:val="22"/>
          <w:shd w:fill="EFF0F1"/>
        </w:rPr>
        <w:t>.md</w:t>
      </w:r>
      <w:r>
        <w:rPr>
          <w:rFonts w:eastAsia="等线" w:ascii="Arial" w:cs="Arial" w:hAnsi="Arial"/>
          <w:sz w:val="22"/>
        </w:rPr>
        <w:t>格式）；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要求：文件命名规范，层级清晰，可直接打开运行/查看。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2. 论文交付物（文件夹命名：02_论文文件）</w:t>
      </w:r>
      <w:bookmarkEnd w:id="47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终版论文：</w:t>
      </w:r>
      <w:r>
        <w:rPr>
          <w:rFonts w:eastAsia="Consolas" w:ascii="Consolas" w:cs="Consolas" w:hAnsi="Consolas"/>
          <w:sz w:val="22"/>
          <w:shd w:fill="EFF0F1"/>
        </w:rPr>
        <w:t>沪深300多因子选股模型研究_终版.docx</w:t>
      </w:r>
      <w:r>
        <w:rPr>
          <w:rFonts w:eastAsia="等线" w:ascii="Arial" w:cs="Arial" w:hAnsi="Arial"/>
          <w:sz w:val="22"/>
        </w:rPr>
        <w:t>（Word格式，1.2-1.5万字，排版规范）；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论文初稿/修改稿：可选，根据老师要求整理；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查重报告：</w:t>
      </w:r>
      <w:r>
        <w:rPr>
          <w:rFonts w:eastAsia="Consolas" w:ascii="Consolas" w:cs="Consolas" w:hAnsi="Consolas"/>
          <w:sz w:val="22"/>
          <w:shd w:fill="EFF0F1"/>
        </w:rPr>
        <w:t>论文查重报告.pdf</w:t>
      </w:r>
      <w:r>
        <w:rPr>
          <w:rFonts w:eastAsia="等线" w:ascii="Arial" w:cs="Arial" w:hAnsi="Arial"/>
          <w:sz w:val="22"/>
        </w:rPr>
        <w:t>（查重率≤15%）。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3. 辅助交付物（文件夹命名：03_辅助文件）</w:t>
      </w:r>
      <w:bookmarkEnd w:id="48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开题报告/任务书：根据学校要求整理的开题报告、任务书（已完成选题，可直接复用核心内容）；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汇报PPT：</w:t>
      </w:r>
      <w:r>
        <w:rPr>
          <w:rFonts w:eastAsia="Consolas" w:ascii="Consolas" w:cs="Consolas" w:hAnsi="Consolas"/>
          <w:sz w:val="22"/>
          <w:shd w:fill="EFF0F1"/>
        </w:rPr>
        <w:t>论文进度汇报PPT.pptx</w:t>
      </w:r>
      <w:r>
        <w:rPr>
          <w:rFonts w:eastAsia="等线" w:ascii="Arial" w:cs="Arial" w:hAnsi="Arial"/>
          <w:sz w:val="22"/>
        </w:rPr>
        <w:t>（简洁版，含选题、进度、技术路线、核心结果，适合向老师汇报）；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[README.md](README.md)：项目说明文档（详见下文，置于项目根目录）。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七、技术栈规范（固定，不可更换，适配本科生）</w:t>
      </w:r>
      <w:bookmarkEnd w:id="4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1. 核心开发语言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3.8-3.10（兼容性强，无版本冲突问题）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2. 核心Python库（均为基础库，可通过pip直接安装）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版本要求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pandas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≥1.5.0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数据读取、预处理、清洗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≥1.23.0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数值计算、标准化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matplotlib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≥3.6.0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基础可视化、绘制所有图表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scikit-learn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≥1.2.0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线性回归（中性化）、IC值计算、模型评估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xgboost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≥1.7.0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XGBoost模型训练、因子重要性分析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joblib/pickle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内置/≥1.2.0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模型保存与加载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csv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数据文件读写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3. 辅助工具</w:t>
      </w:r>
      <w:bookmarkEnd w:id="52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Excel：数据查看、简单计算；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VS Code/PyCharm：Python代码编写（推荐VS Code，轻量易上手）；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Word：论文撰写；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Matplotlib：所有可视化，无需Plotly/Seaborn等复杂库。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八、关键注意事项（必须严格遵守）</w:t>
      </w:r>
      <w:bookmarkEnd w:id="53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数据处理：严禁未来数据泄露，所有因子处理、模型训练、回测均按</w:t>
      </w:r>
      <w:r>
        <w:rPr>
          <w:rFonts w:eastAsia="等线" w:ascii="Arial" w:cs="Arial" w:hAnsi="Arial"/>
          <w:b w:val="true"/>
          <w:sz w:val="22"/>
        </w:rPr>
        <w:t>时间序列顺序</w:t>
      </w:r>
      <w:r>
        <w:rPr>
          <w:rFonts w:eastAsia="等线" w:ascii="Arial" w:cs="Arial" w:hAnsi="Arial"/>
          <w:sz w:val="22"/>
        </w:rPr>
        <w:t>执行，测试集数据不得参与训练集的标准化/均值计算；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可复现性：所有代码需带基础注释，数据文件为通用CSV格式，任何人按README.md步骤可复现所有结果；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论文与技术衔接：论文所有内容均需对应技术实现，无空泛理论，所有结论均有数据/模型/回测结果支撑；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简化原则：全程遵循本科生适配要求，不擅自增加因子数量、模型数量、回测指标，避免增加不必要的工作量；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进度把控：按“1周数据预处理→1周因子处理→1周模型训练→1周回测→4-6周论文撰写+排版”推进，总周期8-10周，可完成终版。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[README.md](README.md)（项目根目录，GitHub规范，本科生易读版）</w:t>
      </w:r>
      <w:bookmarkEnd w:id="5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项目名称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沪深300成分股多因子选股模型研究——基于行业中性化与XGBoost的本科毕业论文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项目简介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</w:t>
      </w:r>
      <w:r>
        <w:rPr>
          <w:rFonts w:eastAsia="等线" w:ascii="Arial" w:cs="Arial" w:hAnsi="Arial"/>
          <w:b w:val="true"/>
          <w:sz w:val="22"/>
        </w:rPr>
        <w:t>金融学/量化金融方向本科生毕业论文</w:t>
      </w:r>
      <w:r>
        <w:rPr>
          <w:rFonts w:eastAsia="等线" w:ascii="Arial" w:cs="Arial" w:hAnsi="Arial"/>
          <w:sz w:val="22"/>
        </w:rPr>
        <w:t>，聚焦A股沪深300成分股多因子选股问题，通过</w:t>
      </w:r>
      <w:r>
        <w:rPr>
          <w:rFonts w:eastAsia="等线" w:ascii="Arial" w:cs="Arial" w:hAnsi="Arial"/>
          <w:b w:val="true"/>
          <w:sz w:val="22"/>
        </w:rPr>
        <w:t>行业中性化因子优化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XGBoost机器学习模型</w:t>
      </w:r>
      <w:r>
        <w:rPr>
          <w:rFonts w:eastAsia="等线" w:ascii="Arial" w:cs="Arial" w:hAnsi="Arial"/>
          <w:sz w:val="22"/>
        </w:rPr>
        <w:t>构建选股体系，对比验证模型相对沪深300基准的选股优势。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严格遵循本科生量化研究要求，做了针对性简化：仅保留1个核心创新点、3-5个核心因子、单模型训练、简化回测规则，所有技术实现基于Python基础库，流程完整、可复现，论文撰写与技术结果无缝衔接，适合本科生快速上手并完成毕业论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核心创新点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</w:t>
      </w:r>
      <w:r>
        <w:rPr>
          <w:rFonts w:eastAsia="等线" w:ascii="Arial" w:cs="Arial" w:hAnsi="Arial"/>
          <w:b w:val="true"/>
          <w:sz w:val="22"/>
        </w:rPr>
        <w:t>线性回归法行业中性化</w:t>
      </w:r>
      <w:r>
        <w:rPr>
          <w:rFonts w:eastAsia="等线" w:ascii="Arial" w:cs="Arial" w:hAnsi="Arial"/>
          <w:sz w:val="22"/>
        </w:rPr>
        <w:t>（剔除A股行业轮动干扰，提纯因子选股能力）与</w:t>
      </w:r>
      <w:r>
        <w:rPr>
          <w:rFonts w:eastAsia="等线" w:ascii="Arial" w:cs="Arial" w:hAnsi="Arial"/>
          <w:b w:val="true"/>
          <w:sz w:val="22"/>
        </w:rPr>
        <w:t>XGBoost算法</w:t>
      </w:r>
      <w:r>
        <w:rPr>
          <w:rFonts w:eastAsia="等线" w:ascii="Arial" w:cs="Arial" w:hAnsi="Arial"/>
          <w:sz w:val="22"/>
        </w:rPr>
        <w:t>（捕捉因子间非线性关系，提升选股准确率）结合，应用于沪深300成分股选股。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研究范围</w:t>
      </w:r>
      <w:bookmarkEnd w:id="58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时间范围：2018年1月1日 - 2023年12月31日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样本范围：沪深300成分股（剔除退市/ST股，最终样本量≥280只）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因子范围：3-5个核心因子（估值/盈利/交易/规模类）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模型范围：XGBoost机器学习模型（以沪深300为基准对比）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项目结构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├── 01_技术文件/        # 所有技术实现文件（数据/代码/结果）</w:t>
              <w:br/>
              <w:t>│   ├── data/           # 数据文件（原始/预处理/因子/模型/回测）</w:t>
              <w:br/>
              <w:t>│   ├── code/           # Python核心代码（模块化，按阶段命名）</w:t>
              <w:br/>
              <w:t>│   └── result/         # 技术结果（图表/报告/模型文件）</w:t>
              <w:br/>
              <w:t>├── 02_论文文件/        # 毕业论文相关文件</w:t>
              <w:br/>
              <w:t>│   ├── 沪深300多因子选股模型研究_终版.docx  # 终版论文（Word）</w:t>
              <w:br/>
              <w:t>│   └── 论文查重报告.pdf                   # 查重报告（≤15%）</w:t>
              <w:br/>
              <w:t>├── 03_辅助文件/        # 辅助汇报/整理文件</w:t>
              <w:br/>
              <w:t>│   ├── 论文进度汇报PPT.pptx  # 老师汇报PPT</w:t>
              <w:br/>
              <w:t>│   └── 开题报告.docx         # 论文开题报告</w:t>
              <w:br/>
              <w:t>├── README.md           # 项目说明文档（本文件）</w:t>
              <w:br/>
            </w:r>
            <w:r>
              <w:rPr>
                <w:rFonts w:eastAsia="Consolas" w:ascii="Consolas" w:cs="Consolas" w:hAnsi="Consolas"/>
                <w:sz w:val="22"/>
              </w:rPr>
              <w:t>└── requirements.txt    # Python环境依赖库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环境配置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1. Python版本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推荐Python 3.8-3.10（兼容性强，无版本冲突）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2. 依赖库安装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项目所有依赖均为Python基础库，直接在终端/命令行执行以下命令安装（或按</w:t>
      </w:r>
      <w:r>
        <w:rPr>
          <w:rFonts w:eastAsia="Consolas" w:ascii="Consolas" w:cs="Consolas" w:hAnsi="Consolas"/>
          <w:sz w:val="22"/>
          <w:shd w:fill="EFF0F1"/>
        </w:rPr>
        <w:t>requirements.txt</w:t>
      </w:r>
      <w:r>
        <w:rPr>
          <w:rFonts w:eastAsia="等线" w:ascii="Arial" w:cs="Arial" w:hAnsi="Arial"/>
          <w:sz w:val="22"/>
        </w:rPr>
        <w:t>安装）：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直接安装核心库</w:t>
              <w:br/>
              <w:t>pip install pandas&gt;=1.5.0 numpy&gt;=1.23.0 matplotlib&gt;=3.6.0 scikit-learn&gt;=1.2.0 xgboost&gt;=1.7.0 joblib&gt;=1.2.0</w:t>
              <w:br/>
              <w:br/>
              <w:t># 或按requirements.txt安装（推荐）</w:t>
              <w:br/>
            </w:r>
            <w:r>
              <w:rPr>
                <w:rFonts w:eastAsia="Consolas" w:ascii="Consolas" w:cs="Consolas" w:hAnsi="Consolas"/>
                <w:sz w:val="22"/>
              </w:rPr>
              <w:t>pip install -r requirements.txt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3. 辅助工具</w:t>
      </w:r>
      <w:bookmarkEnd w:id="63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代码编辑器：VS Code/PyCharm（推荐VS Code，轻量易上手）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数据查看：Excel/WPS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论文撰写：Microsoft Word/WPS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快速运行（按步骤执行，可复现所有结果）</w:t>
      </w:r>
      <w:bookmarkEnd w:id="6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步骤1：数据准备</w:t>
      </w:r>
      <w:bookmarkEnd w:id="65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将从Wind/CSMAR获取的沪深300成分股原始数据，按需求文档要求整理为</w:t>
      </w:r>
      <w:r>
        <w:rPr>
          <w:rFonts w:eastAsia="Consolas" w:ascii="Consolas" w:cs="Consolas" w:hAnsi="Consolas"/>
          <w:sz w:val="22"/>
          <w:shd w:fill="EFF0F1"/>
        </w:rPr>
        <w:t>raw_data.csv</w:t>
      </w:r>
      <w:r>
        <w:rPr>
          <w:rFonts w:eastAsia="等线" w:ascii="Arial" w:cs="Arial" w:hAnsi="Arial"/>
          <w:sz w:val="22"/>
        </w:rPr>
        <w:t>，放入</w:t>
      </w:r>
      <w:r>
        <w:rPr>
          <w:rFonts w:eastAsia="Consolas" w:ascii="Consolas" w:cs="Consolas" w:hAnsi="Consolas"/>
          <w:sz w:val="22"/>
          <w:shd w:fill="EFF0F1"/>
        </w:rPr>
        <w:t>01_技术文件/data/</w:t>
      </w:r>
      <w:r>
        <w:rPr>
          <w:rFonts w:eastAsia="等线" w:ascii="Arial" w:cs="Arial" w:hAnsi="Arial"/>
          <w:sz w:val="22"/>
        </w:rPr>
        <w:t>文件夹；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从网络/Wind获取简易版申万一级行业分类表，放入同一文件夹。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步骤2：代码运行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</w:t>
      </w:r>
      <w:r>
        <w:rPr>
          <w:rFonts w:eastAsia="等线" w:ascii="Arial" w:cs="Arial" w:hAnsi="Arial"/>
          <w:b w:val="true"/>
          <w:sz w:val="22"/>
        </w:rPr>
        <w:t>模块化顺序</w:t>
      </w:r>
      <w:r>
        <w:rPr>
          <w:rFonts w:eastAsia="等线" w:ascii="Arial" w:cs="Arial" w:hAnsi="Arial"/>
          <w:sz w:val="22"/>
        </w:rPr>
        <w:t>运行</w:t>
      </w:r>
      <w:r>
        <w:rPr>
          <w:rFonts w:eastAsia="Consolas" w:ascii="Consolas" w:cs="Consolas" w:hAnsi="Consolas"/>
          <w:sz w:val="22"/>
          <w:shd w:fill="EFF0F1"/>
        </w:rPr>
        <w:t>01_技术文件/code/</w:t>
      </w:r>
      <w:r>
        <w:rPr>
          <w:rFonts w:eastAsia="等线" w:ascii="Arial" w:cs="Arial" w:hAnsi="Arial"/>
          <w:sz w:val="22"/>
        </w:rPr>
        <w:t>中的Python代码，文件名已按阶段排序，直接依次执行即可：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01_data_preprocess.py  # 数据预处理（生成clean_data.csv）</w:t>
              <w:br/>
              <w:t>02_factor_neutral.py   # 因子中性化+有效性检验（生成neutral_data.csv、因子IC结果）</w:t>
              <w:br/>
              <w:t>03_model_train.py      # XGBoost模型训练（生成训练/测试集、xgb_model.pkl）</w:t>
              <w:br/>
            </w:r>
            <w:r>
              <w:rPr>
                <w:rFonts w:eastAsia="Consolas" w:ascii="Consolas" w:cs="Consolas" w:hAnsi="Consolas"/>
                <w:sz w:val="22"/>
              </w:rPr>
              <w:t>04_backtest.py         # 简化回测（生成回测结果、核心指标对比）</w:t>
            </w:r>
          </w:p>
        </w:tc>
      </w:tr>
    </w:tbl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所有代码均带</w:t>
      </w:r>
      <w:r>
        <w:rPr>
          <w:rFonts w:eastAsia="等线" w:ascii="Arial" w:cs="Arial" w:hAnsi="Arial"/>
          <w:b w:val="true"/>
          <w:sz w:val="22"/>
        </w:rPr>
        <w:t>基础注释</w:t>
      </w:r>
      <w:r>
        <w:rPr>
          <w:rFonts w:eastAsia="等线" w:ascii="Arial" w:cs="Arial" w:hAnsi="Arial"/>
          <w:sz w:val="22"/>
        </w:rPr>
        <w:t>，无需修改参数（已按本科生要求固定）；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运行过程中自动生成所有数据文件和图表，保存至对应文件夹。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步骤3：结果查看</w:t>
      </w:r>
      <w:bookmarkEnd w:id="67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技术结果：所有数据文件在</w:t>
      </w:r>
      <w:r>
        <w:rPr>
          <w:rFonts w:eastAsia="Consolas" w:ascii="Consolas" w:cs="Consolas" w:hAnsi="Consolas"/>
          <w:sz w:val="22"/>
          <w:shd w:fill="EFF0F1"/>
        </w:rPr>
        <w:t>data/</w:t>
      </w:r>
      <w:r>
        <w:rPr>
          <w:rFonts w:eastAsia="等线" w:ascii="Arial" w:cs="Arial" w:hAnsi="Arial"/>
          <w:sz w:val="22"/>
        </w:rPr>
        <w:t>、图表在</w:t>
      </w:r>
      <w:r>
        <w:rPr>
          <w:rFonts w:eastAsia="Consolas" w:ascii="Consolas" w:cs="Consolas" w:hAnsi="Consolas"/>
          <w:sz w:val="22"/>
          <w:shd w:fill="EFF0F1"/>
        </w:rPr>
        <w:t>result/</w:t>
      </w:r>
      <w:r>
        <w:rPr>
          <w:rFonts w:eastAsia="等线" w:ascii="Arial" w:cs="Arial" w:hAnsi="Arial"/>
          <w:sz w:val="22"/>
        </w:rPr>
        <w:t>、报告在</w:t>
      </w:r>
      <w:r>
        <w:rPr>
          <w:rFonts w:eastAsia="Consolas" w:ascii="Consolas" w:cs="Consolas" w:hAnsi="Consolas"/>
          <w:sz w:val="22"/>
          <w:shd w:fill="EFF0F1"/>
        </w:rPr>
        <w:t>result/</w:t>
      </w:r>
      <w:r>
        <w:rPr>
          <w:rFonts w:eastAsia="等线" w:ascii="Arial" w:cs="Arial" w:hAnsi="Arial"/>
          <w:sz w:val="22"/>
        </w:rPr>
        <w:t>，可直接打开查看；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论文素材：所有图表/报告/数据结果均可直接复用至毕业论文中，按需求文档撰写要求整理即可。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步骤4：论文撰写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按需求文档中各章节撰写要求，结合技术实现结果，完成毕业论文撰写、排版、查重，最终生成终版论文放入</w:t>
      </w:r>
      <w:r>
        <w:rPr>
          <w:rFonts w:eastAsia="Consolas" w:ascii="Consolas" w:cs="Consolas" w:hAnsi="Consolas"/>
          <w:sz w:val="22"/>
          <w:shd w:fill="EFF0F1"/>
        </w:rPr>
        <w:t>02_论文文件/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核心流程说明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本项目遵循</w:t>
      </w:r>
      <w:r>
        <w:rPr>
          <w:rFonts w:eastAsia="等线" w:ascii="Arial" w:cs="Arial" w:hAnsi="Arial"/>
          <w:b w:val="true"/>
          <w:sz w:val="22"/>
        </w:rPr>
        <w:t>量化研究经典闭环</w:t>
      </w:r>
      <w:r>
        <w:rPr>
          <w:rFonts w:eastAsia="等线" w:ascii="Arial" w:cs="Arial" w:hAnsi="Arial"/>
          <w:sz w:val="22"/>
        </w:rPr>
        <w:t>，所有环节层层递进，技术与论文一一对应：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数据来源（Wind/CSMAR）→ 数据预处理（清洗/标准化/质控）→ 因子体系构建（中性化+IC有效性检验）→ XGBoost模型训练（时间序列划分+二分类标签）→ 简化回测验证（与沪深300基准对比）→ 论文撰写（复用所有技术结果）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关键结果说明</w:t>
      </w:r>
      <w:bookmarkEnd w:id="7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1. 技术核心结果</w:t>
      </w:r>
      <w:bookmarkEnd w:id="71"/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数据预处理：生成无缺失/无异常的标准化数据集，完成数据质控；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因子处理：筛选出|IC|&gt;0.03的有效因子，完成行业中性化提纯；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模型训练：XGBoost模型测试集预测准确率达标，输出因子重要性排序；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回测验证：XGBoost模型在年化收益率/夏普比率/最大回撤3个核心指标上</w:t>
      </w:r>
      <w:r>
        <w:rPr>
          <w:rFonts w:eastAsia="等线" w:ascii="Arial" w:cs="Arial" w:hAnsi="Arial"/>
          <w:b w:val="true"/>
          <w:sz w:val="22"/>
        </w:rPr>
        <w:t>跑赢沪深300基准</w:t>
      </w:r>
      <w:r>
        <w:rPr>
          <w:rFonts w:eastAsia="等线" w:ascii="Arial" w:cs="Arial" w:hAnsi="Arial"/>
          <w:sz w:val="22"/>
        </w:rPr>
        <w:t>，验证模型优化价值。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2. 论文核心成果</w:t>
      </w:r>
      <w:bookmarkEnd w:id="72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构建了适配本科生的沪深300多因子选股简化框架；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验证了“行业中性化+XGBoost”组合在沪深300选股中的有效性；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完成1.2-1.5万字本科毕业论文，逻辑完整、方法规范、查重率≤15%。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论文支撑说明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本项目所有技术实现均为毕业论文服务，各技术环节直接对应论文各章节：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技术环节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对应论文章节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核心支撑素材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数据预处理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第3章 数据来源与预处理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质控报告、缺失值对比图、clean_data.csv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因子体系构建与检验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第4章 因子体系构建与有效性检验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因子IC值柱状图、factor_ic_result.csv、中性化公式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XGBoost模型训练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第5章 选股模型设计与训练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模型准确率图、因子重要性图、xgb_model.pkl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回测验证与分析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第6章 选股模型回测与结果分析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累计收益对比图、核心指标对比表、backtest_result.csv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所有技术结果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第1/2/7章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技术路线、理论支撑、研究结论（均由技术结果推导）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注意事项</w:t>
      </w:r>
      <w:bookmarkEnd w:id="74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数据合规</w:t>
      </w:r>
      <w:r>
        <w:rPr>
          <w:rFonts w:eastAsia="等线" w:ascii="Arial" w:cs="Arial" w:hAnsi="Arial"/>
          <w:sz w:val="22"/>
        </w:rPr>
        <w:t>：本项目使用的Wind/CSMAR数据仅用于本科毕业论文研究，请勿用于商业用途；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无未来数据</w:t>
      </w:r>
      <w:r>
        <w:rPr>
          <w:rFonts w:eastAsia="等线" w:ascii="Arial" w:cs="Arial" w:hAnsi="Arial"/>
          <w:sz w:val="22"/>
        </w:rPr>
        <w:t>：所有代码均按时间序列执行，严格避免未来数据泄露，保证研究结果可信；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可复现性</w:t>
      </w:r>
      <w:r>
        <w:rPr>
          <w:rFonts w:eastAsia="等线" w:ascii="Arial" w:cs="Arial" w:hAnsi="Arial"/>
          <w:sz w:val="22"/>
        </w:rPr>
        <w:t>：所有文件命名规范、代码带注释、数据为CSV通用格式，按本README步骤可100%复现结果；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本科生适配</w:t>
      </w:r>
      <w:r>
        <w:rPr>
          <w:rFonts w:eastAsia="等线" w:ascii="Arial" w:cs="Arial" w:hAnsi="Arial"/>
          <w:sz w:val="22"/>
        </w:rPr>
        <w:t>：本项目已做极致简化，请勿擅自增加因子/模型/指标复杂度，避免工作量翻倍；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进度把控</w:t>
      </w:r>
      <w:r>
        <w:rPr>
          <w:rFonts w:eastAsia="等线" w:ascii="Arial" w:cs="Arial" w:hAnsi="Arial"/>
          <w:sz w:val="22"/>
        </w:rPr>
        <w:t>：建议按“1周/技术环节，4-6周/论文撰写”推进，总周期8-10周可完成终版。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致谢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感谢指导老师在论文选题、研究方向、技术实现上的悉心指导，感谢Wind/CSMAR提供数据支持，本项目为本科生量化金融方向毕业论文实践，所有内容均为原创，遵循学术规范。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32241">
    <w:lvl>
      <w:numFmt w:val="bullet"/>
      <w:suff w:val="tab"/>
      <w:lvlText w:val="•"/>
      <w:rPr>
        <w:color w:val="3370ff"/>
      </w:rPr>
    </w:lvl>
  </w:abstractNum>
  <w:abstractNum w:abstractNumId="1632242">
    <w:lvl>
      <w:numFmt w:val="bullet"/>
      <w:suff w:val="tab"/>
      <w:lvlText w:val="•"/>
      <w:rPr>
        <w:color w:val="3370ff"/>
      </w:rPr>
    </w:lvl>
  </w:abstractNum>
  <w:abstractNum w:abstractNumId="1632243">
    <w:lvl>
      <w:numFmt w:val="bullet"/>
      <w:suff w:val="tab"/>
      <w:lvlText w:val="•"/>
      <w:rPr>
        <w:color w:val="3370ff"/>
      </w:rPr>
    </w:lvl>
  </w:abstractNum>
  <w:abstractNum w:abstractNumId="1632244">
    <w:lvl>
      <w:numFmt w:val="bullet"/>
      <w:suff w:val="tab"/>
      <w:lvlText w:val="•"/>
      <w:rPr>
        <w:color w:val="3370ff"/>
      </w:rPr>
    </w:lvl>
  </w:abstractNum>
  <w:abstractNum w:abstractNumId="1632245">
    <w:lvl>
      <w:numFmt w:val="bullet"/>
      <w:suff w:val="tab"/>
      <w:lvlText w:val="•"/>
      <w:rPr>
        <w:color w:val="3370ff"/>
      </w:rPr>
    </w:lvl>
  </w:abstractNum>
  <w:abstractNum w:abstractNumId="1632246">
    <w:lvl>
      <w:numFmt w:val="bullet"/>
      <w:suff w:val="tab"/>
      <w:lvlText w:val="•"/>
      <w:rPr>
        <w:color w:val="3370ff"/>
      </w:rPr>
    </w:lvl>
  </w:abstractNum>
  <w:abstractNum w:abstractNumId="1632247">
    <w:lvl>
      <w:numFmt w:val="bullet"/>
      <w:suff w:val="tab"/>
      <w:lvlText w:val="•"/>
      <w:rPr>
        <w:color w:val="3370ff"/>
      </w:rPr>
    </w:lvl>
  </w:abstractNum>
  <w:abstractNum w:abstractNumId="1632248">
    <w:lvl>
      <w:numFmt w:val="bullet"/>
      <w:suff w:val="tab"/>
      <w:lvlText w:val="•"/>
      <w:rPr>
        <w:color w:val="3370ff"/>
      </w:rPr>
    </w:lvl>
  </w:abstractNum>
  <w:abstractNum w:abstractNumId="1632249">
    <w:lvl>
      <w:numFmt w:val="bullet"/>
      <w:suff w:val="tab"/>
      <w:lvlText w:val="•"/>
      <w:rPr>
        <w:color w:val="3370ff"/>
      </w:rPr>
    </w:lvl>
  </w:abstractNum>
  <w:abstractNum w:abstractNumId="1632250">
    <w:lvl>
      <w:numFmt w:val="bullet"/>
      <w:suff w:val="tab"/>
      <w:lvlText w:val="•"/>
      <w:rPr>
        <w:color w:val="3370ff"/>
      </w:rPr>
    </w:lvl>
  </w:abstractNum>
  <w:abstractNum w:abstractNumId="1632251">
    <w:lvl>
      <w:numFmt w:val="bullet"/>
      <w:suff w:val="tab"/>
      <w:lvlText w:val="•"/>
      <w:rPr>
        <w:color w:val="3370ff"/>
      </w:rPr>
    </w:lvl>
  </w:abstractNum>
  <w:abstractNum w:abstractNumId="1632252">
    <w:lvl>
      <w:numFmt w:val="bullet"/>
      <w:suff w:val="tab"/>
      <w:lvlText w:val="•"/>
      <w:rPr>
        <w:color w:val="3370ff"/>
      </w:rPr>
    </w:lvl>
  </w:abstractNum>
  <w:abstractNum w:abstractNumId="1632253">
    <w:lvl>
      <w:numFmt w:val="bullet"/>
      <w:suff w:val="tab"/>
      <w:lvlText w:val="•"/>
      <w:rPr>
        <w:color w:val="3370ff"/>
      </w:rPr>
    </w:lvl>
  </w:abstractNum>
  <w:abstractNum w:abstractNumId="1632254">
    <w:lvl>
      <w:numFmt w:val="bullet"/>
      <w:suff w:val="tab"/>
      <w:lvlText w:val="•"/>
      <w:rPr>
        <w:color w:val="3370ff"/>
      </w:rPr>
    </w:lvl>
  </w:abstractNum>
  <w:abstractNum w:abstractNumId="1632255">
    <w:lvl>
      <w:numFmt w:val="bullet"/>
      <w:suff w:val="tab"/>
      <w:lvlText w:val="•"/>
      <w:rPr>
        <w:color w:val="3370ff"/>
      </w:rPr>
    </w:lvl>
  </w:abstractNum>
  <w:abstractNum w:abstractNumId="1632256">
    <w:lvl>
      <w:start w:val="1"/>
      <w:numFmt w:val="decimal"/>
      <w:suff w:val="tab"/>
      <w:lvlText w:val="%1."/>
      <w:rPr>
        <w:color w:val="3370ff"/>
      </w:rPr>
    </w:lvl>
  </w:abstractNum>
  <w:abstractNum w:abstractNumId="1632257">
    <w:lvl>
      <w:start w:val="2"/>
      <w:numFmt w:val="decimal"/>
      <w:suff w:val="tab"/>
      <w:lvlText w:val="%1."/>
      <w:rPr>
        <w:color w:val="3370ff"/>
      </w:rPr>
    </w:lvl>
  </w:abstractNum>
  <w:abstractNum w:abstractNumId="1632258">
    <w:lvl>
      <w:start w:val="3"/>
      <w:numFmt w:val="decimal"/>
      <w:suff w:val="tab"/>
      <w:lvlText w:val="%1."/>
      <w:rPr>
        <w:color w:val="3370ff"/>
      </w:rPr>
    </w:lvl>
  </w:abstractNum>
  <w:abstractNum w:abstractNumId="1632259">
    <w:lvl>
      <w:start w:val="4"/>
      <w:numFmt w:val="decimal"/>
      <w:suff w:val="tab"/>
      <w:lvlText w:val="%1."/>
      <w:rPr>
        <w:color w:val="3370ff"/>
      </w:rPr>
    </w:lvl>
  </w:abstractNum>
  <w:abstractNum w:abstractNumId="1632260">
    <w:lvl>
      <w:start w:val="5"/>
      <w:numFmt w:val="decimal"/>
      <w:suff w:val="tab"/>
      <w:lvlText w:val="%1."/>
      <w:rPr>
        <w:color w:val="3370ff"/>
      </w:rPr>
    </w:lvl>
  </w:abstractNum>
  <w:abstractNum w:abstractNumId="1632261">
    <w:lvl>
      <w:numFmt w:val="bullet"/>
      <w:suff w:val="tab"/>
      <w:lvlText w:val="•"/>
      <w:rPr>
        <w:color w:val="3370ff"/>
      </w:rPr>
    </w:lvl>
  </w:abstractNum>
  <w:abstractNum w:abstractNumId="1632262">
    <w:lvl>
      <w:numFmt w:val="bullet"/>
      <w:suff w:val="tab"/>
      <w:lvlText w:val="•"/>
      <w:rPr>
        <w:color w:val="3370ff"/>
      </w:rPr>
    </w:lvl>
  </w:abstractNum>
  <w:abstractNum w:abstractNumId="1632263">
    <w:lvl>
      <w:numFmt w:val="bullet"/>
      <w:suff w:val="tab"/>
      <w:lvlText w:val="•"/>
      <w:rPr>
        <w:color w:val="3370ff"/>
      </w:rPr>
    </w:lvl>
  </w:abstractNum>
  <w:abstractNum w:abstractNumId="1632264">
    <w:lvl>
      <w:numFmt w:val="bullet"/>
      <w:suff w:val="tab"/>
      <w:lvlText w:val="•"/>
      <w:rPr>
        <w:color w:val="3370ff"/>
      </w:rPr>
    </w:lvl>
  </w:abstractNum>
  <w:abstractNum w:abstractNumId="1632265">
    <w:lvl>
      <w:numFmt w:val="bullet"/>
      <w:suff w:val="tab"/>
      <w:lvlText w:val="•"/>
      <w:rPr>
        <w:color w:val="3370ff"/>
      </w:rPr>
    </w:lvl>
  </w:abstractNum>
  <w:abstractNum w:abstractNumId="1632266">
    <w:lvl>
      <w:numFmt w:val="bullet"/>
      <w:suff w:val="tab"/>
      <w:lvlText w:val="•"/>
      <w:rPr>
        <w:color w:val="3370ff"/>
      </w:rPr>
    </w:lvl>
  </w:abstractNum>
  <w:abstractNum w:abstractNumId="1632267">
    <w:lvl>
      <w:numFmt w:val="bullet"/>
      <w:suff w:val="tab"/>
      <w:lvlText w:val="•"/>
      <w:rPr>
        <w:color w:val="3370ff"/>
      </w:rPr>
    </w:lvl>
  </w:abstractNum>
  <w:abstractNum w:abstractNumId="1632268">
    <w:lvl>
      <w:start w:val="1"/>
      <w:numFmt w:val="decimal"/>
      <w:suff w:val="tab"/>
      <w:lvlText w:val="%1."/>
      <w:rPr>
        <w:color w:val="3370ff"/>
      </w:rPr>
    </w:lvl>
  </w:abstractNum>
  <w:abstractNum w:abstractNumId="1632269">
    <w:lvl>
      <w:start w:val="2"/>
      <w:numFmt w:val="decimal"/>
      <w:suff w:val="tab"/>
      <w:lvlText w:val="%1."/>
      <w:rPr>
        <w:color w:val="3370ff"/>
      </w:rPr>
    </w:lvl>
  </w:abstractNum>
  <w:abstractNum w:abstractNumId="1632270">
    <w:lvl>
      <w:numFmt w:val="bullet"/>
      <w:suff w:val="tab"/>
      <w:lvlText w:val="￮"/>
      <w:rPr>
        <w:color w:val="3370ff"/>
      </w:rPr>
    </w:lvl>
  </w:abstractNum>
  <w:abstractNum w:abstractNumId="1632271">
    <w:lvl>
      <w:numFmt w:val="bullet"/>
      <w:suff w:val="tab"/>
      <w:lvlText w:val="￮"/>
      <w:rPr>
        <w:color w:val="3370ff"/>
      </w:rPr>
    </w:lvl>
  </w:abstractNum>
  <w:abstractNum w:abstractNumId="1632272">
    <w:lvl>
      <w:numFmt w:val="bullet"/>
      <w:suff w:val="tab"/>
      <w:lvlText w:val="￮"/>
      <w:rPr>
        <w:color w:val="3370ff"/>
      </w:rPr>
    </w:lvl>
  </w:abstractNum>
  <w:abstractNum w:abstractNumId="1632273">
    <w:lvl>
      <w:start w:val="3"/>
      <w:numFmt w:val="decimal"/>
      <w:suff w:val="tab"/>
      <w:lvlText w:val="%1."/>
      <w:rPr>
        <w:color w:val="3370ff"/>
      </w:rPr>
    </w:lvl>
  </w:abstractNum>
  <w:abstractNum w:abstractNumId="1632274">
    <w:lvl>
      <w:numFmt w:val="bullet"/>
      <w:suff w:val="tab"/>
      <w:lvlText w:val="￮"/>
      <w:rPr>
        <w:color w:val="3370ff"/>
      </w:rPr>
    </w:lvl>
  </w:abstractNum>
  <w:abstractNum w:abstractNumId="1632275">
    <w:lvl>
      <w:numFmt w:val="bullet"/>
      <w:suff w:val="tab"/>
      <w:lvlText w:val="￮"/>
      <w:rPr>
        <w:color w:val="3370ff"/>
      </w:rPr>
    </w:lvl>
  </w:abstractNum>
  <w:abstractNum w:abstractNumId="1632276">
    <w:lvl>
      <w:numFmt w:val="bullet"/>
      <w:suff w:val="tab"/>
      <w:lvlText w:val="￮"/>
      <w:rPr>
        <w:color w:val="3370ff"/>
      </w:rPr>
    </w:lvl>
  </w:abstractNum>
  <w:abstractNum w:abstractNumId="1632277">
    <w:lvl>
      <w:numFmt w:val="bullet"/>
      <w:suff w:val="tab"/>
      <w:lvlText w:val="•"/>
      <w:rPr>
        <w:color w:val="3370ff"/>
      </w:rPr>
    </w:lvl>
  </w:abstractNum>
  <w:abstractNum w:abstractNumId="1632278">
    <w:lvl>
      <w:numFmt w:val="bullet"/>
      <w:suff w:val="tab"/>
      <w:lvlText w:val="•"/>
      <w:rPr>
        <w:color w:val="3370ff"/>
      </w:rPr>
    </w:lvl>
  </w:abstractNum>
  <w:abstractNum w:abstractNumId="1632279">
    <w:lvl>
      <w:numFmt w:val="bullet"/>
      <w:suff w:val="tab"/>
      <w:lvlText w:val="•"/>
      <w:rPr>
        <w:color w:val="3370ff"/>
      </w:rPr>
    </w:lvl>
  </w:abstractNum>
  <w:abstractNum w:abstractNumId="1632280">
    <w:lvl>
      <w:numFmt w:val="bullet"/>
      <w:suff w:val="tab"/>
      <w:lvlText w:val="•"/>
      <w:rPr>
        <w:color w:val="3370ff"/>
      </w:rPr>
    </w:lvl>
  </w:abstractNum>
  <w:abstractNum w:abstractNumId="1632281">
    <w:lvl>
      <w:numFmt w:val="bullet"/>
      <w:suff w:val="tab"/>
      <w:lvlText w:val="•"/>
      <w:rPr>
        <w:color w:val="3370ff"/>
      </w:rPr>
    </w:lvl>
  </w:abstractNum>
  <w:abstractNum w:abstractNumId="1632282">
    <w:lvl>
      <w:numFmt w:val="bullet"/>
      <w:suff w:val="tab"/>
      <w:lvlText w:val="•"/>
      <w:rPr>
        <w:color w:val="3370ff"/>
      </w:rPr>
    </w:lvl>
  </w:abstractNum>
  <w:abstractNum w:abstractNumId="1632283">
    <w:lvl>
      <w:numFmt w:val="bullet"/>
      <w:suff w:val="tab"/>
      <w:lvlText w:val="•"/>
      <w:rPr>
        <w:color w:val="3370ff"/>
      </w:rPr>
    </w:lvl>
  </w:abstractNum>
  <w:abstractNum w:abstractNumId="1632284">
    <w:lvl>
      <w:start w:val="1"/>
      <w:numFmt w:val="decimal"/>
      <w:suff w:val="tab"/>
      <w:lvlText w:val="%1."/>
      <w:rPr>
        <w:color w:val="3370ff"/>
      </w:rPr>
    </w:lvl>
  </w:abstractNum>
  <w:abstractNum w:abstractNumId="1632285">
    <w:lvl>
      <w:start w:val="2"/>
      <w:numFmt w:val="decimal"/>
      <w:suff w:val="tab"/>
      <w:lvlText w:val="%1."/>
      <w:rPr>
        <w:color w:val="3370ff"/>
      </w:rPr>
    </w:lvl>
  </w:abstractNum>
  <w:abstractNum w:abstractNumId="1632286">
    <w:lvl>
      <w:start w:val="3"/>
      <w:numFmt w:val="decimal"/>
      <w:suff w:val="tab"/>
      <w:lvlText w:val="%1."/>
      <w:rPr>
        <w:color w:val="3370ff"/>
      </w:rPr>
    </w:lvl>
  </w:abstractNum>
  <w:abstractNum w:abstractNumId="1632287">
    <w:lvl>
      <w:numFmt w:val="bullet"/>
      <w:suff w:val="tab"/>
      <w:lvlText w:val="￮"/>
      <w:rPr>
        <w:color w:val="3370ff"/>
      </w:rPr>
    </w:lvl>
  </w:abstractNum>
  <w:abstractNum w:abstractNumId="1632288">
    <w:lvl>
      <w:numFmt w:val="bullet"/>
      <w:suff w:val="tab"/>
      <w:lvlText w:val="￮"/>
      <w:rPr>
        <w:color w:val="3370ff"/>
      </w:rPr>
    </w:lvl>
  </w:abstractNum>
  <w:abstractNum w:abstractNumId="1632289">
    <w:lvl>
      <w:numFmt w:val="bullet"/>
      <w:suff w:val="tab"/>
      <w:lvlText w:val="￮"/>
      <w:rPr>
        <w:color w:val="3370ff"/>
      </w:rPr>
    </w:lvl>
  </w:abstractNum>
  <w:abstractNum w:abstractNumId="1632290">
    <w:lvl>
      <w:start w:val="4"/>
      <w:numFmt w:val="decimal"/>
      <w:suff w:val="tab"/>
      <w:lvlText w:val="%1."/>
      <w:rPr>
        <w:color w:val="3370ff"/>
      </w:rPr>
    </w:lvl>
  </w:abstractNum>
  <w:abstractNum w:abstractNumId="1632291">
    <w:lvl>
      <w:numFmt w:val="bullet"/>
      <w:suff w:val="tab"/>
      <w:lvlText w:val="•"/>
      <w:rPr>
        <w:color w:val="3370ff"/>
      </w:rPr>
    </w:lvl>
  </w:abstractNum>
  <w:abstractNum w:abstractNumId="1632292">
    <w:lvl>
      <w:numFmt w:val="bullet"/>
      <w:suff w:val="tab"/>
      <w:lvlText w:val="•"/>
      <w:rPr>
        <w:color w:val="3370ff"/>
      </w:rPr>
    </w:lvl>
  </w:abstractNum>
  <w:abstractNum w:abstractNumId="1632293">
    <w:lvl>
      <w:numFmt w:val="bullet"/>
      <w:suff w:val="tab"/>
      <w:lvlText w:val="•"/>
      <w:rPr>
        <w:color w:val="3370ff"/>
      </w:rPr>
    </w:lvl>
  </w:abstractNum>
  <w:abstractNum w:abstractNumId="1632294">
    <w:lvl>
      <w:numFmt w:val="bullet"/>
      <w:suff w:val="tab"/>
      <w:lvlText w:val="•"/>
      <w:rPr>
        <w:color w:val="3370ff"/>
      </w:rPr>
    </w:lvl>
  </w:abstractNum>
  <w:abstractNum w:abstractNumId="1632295">
    <w:lvl>
      <w:numFmt w:val="bullet"/>
      <w:suff w:val="tab"/>
      <w:lvlText w:val="•"/>
      <w:rPr>
        <w:color w:val="3370ff"/>
      </w:rPr>
    </w:lvl>
  </w:abstractNum>
  <w:abstractNum w:abstractNumId="1632296">
    <w:lvl>
      <w:numFmt w:val="bullet"/>
      <w:suff w:val="tab"/>
      <w:lvlText w:val="•"/>
      <w:rPr>
        <w:color w:val="3370ff"/>
      </w:rPr>
    </w:lvl>
  </w:abstractNum>
  <w:abstractNum w:abstractNumId="1632297">
    <w:lvl>
      <w:numFmt w:val="bullet"/>
      <w:suff w:val="tab"/>
      <w:lvlText w:val="•"/>
      <w:rPr>
        <w:color w:val="3370ff"/>
      </w:rPr>
    </w:lvl>
  </w:abstractNum>
  <w:abstractNum w:abstractNumId="1632298">
    <w:lvl>
      <w:numFmt w:val="bullet"/>
      <w:suff w:val="tab"/>
      <w:lvlText w:val="•"/>
      <w:rPr>
        <w:color w:val="3370ff"/>
      </w:rPr>
    </w:lvl>
  </w:abstractNum>
  <w:abstractNum w:abstractNumId="1632299">
    <w:lvl>
      <w:start w:val="1"/>
      <w:numFmt w:val="decimal"/>
      <w:suff w:val="tab"/>
      <w:lvlText w:val="%1."/>
      <w:rPr>
        <w:color w:val="3370ff"/>
      </w:rPr>
    </w:lvl>
  </w:abstractNum>
  <w:abstractNum w:abstractNumId="1632300">
    <w:lvl>
      <w:numFmt w:val="bullet"/>
      <w:suff w:val="tab"/>
      <w:lvlText w:val="￮"/>
      <w:rPr>
        <w:color w:val="3370ff"/>
      </w:rPr>
    </w:lvl>
  </w:abstractNum>
  <w:abstractNum w:abstractNumId="1632301">
    <w:lvl>
      <w:numFmt w:val="bullet"/>
      <w:suff w:val="tab"/>
      <w:lvlText w:val="￮"/>
      <w:rPr>
        <w:color w:val="3370ff"/>
      </w:rPr>
    </w:lvl>
  </w:abstractNum>
  <w:abstractNum w:abstractNumId="1632302">
    <w:lvl>
      <w:numFmt w:val="bullet"/>
      <w:suff w:val="tab"/>
      <w:lvlText w:val="￮"/>
      <w:rPr>
        <w:color w:val="3370ff"/>
      </w:rPr>
    </w:lvl>
  </w:abstractNum>
  <w:abstractNum w:abstractNumId="1632303">
    <w:lvl>
      <w:start w:val="2"/>
      <w:numFmt w:val="decimal"/>
      <w:suff w:val="tab"/>
      <w:lvlText w:val="%1."/>
      <w:rPr>
        <w:color w:val="3370ff"/>
      </w:rPr>
    </w:lvl>
  </w:abstractNum>
  <w:abstractNum w:abstractNumId="1632304">
    <w:lvl>
      <w:numFmt w:val="bullet"/>
      <w:suff w:val="tab"/>
      <w:lvlText w:val="￮"/>
      <w:rPr>
        <w:color w:val="3370ff"/>
      </w:rPr>
    </w:lvl>
  </w:abstractNum>
  <w:abstractNum w:abstractNumId="1632305">
    <w:lvl>
      <w:numFmt w:val="bullet"/>
      <w:suff w:val="tab"/>
      <w:lvlText w:val="￮"/>
      <w:rPr>
        <w:color w:val="3370ff"/>
      </w:rPr>
    </w:lvl>
  </w:abstractNum>
  <w:abstractNum w:abstractNumId="1632306">
    <w:lvl>
      <w:numFmt w:val="bullet"/>
      <w:suff w:val="tab"/>
      <w:lvlText w:val="￮"/>
      <w:rPr>
        <w:color w:val="3370ff"/>
      </w:rPr>
    </w:lvl>
  </w:abstractNum>
  <w:abstractNum w:abstractNumId="1632307">
    <w:lvl>
      <w:start w:val="3"/>
      <w:numFmt w:val="decimal"/>
      <w:suff w:val="tab"/>
      <w:lvlText w:val="%1."/>
      <w:rPr>
        <w:color w:val="3370ff"/>
      </w:rPr>
    </w:lvl>
  </w:abstractNum>
  <w:abstractNum w:abstractNumId="1632308">
    <w:lvl>
      <w:numFmt w:val="bullet"/>
      <w:suff w:val="tab"/>
      <w:lvlText w:val="￮"/>
      <w:rPr>
        <w:color w:val="3370ff"/>
      </w:rPr>
    </w:lvl>
  </w:abstractNum>
  <w:abstractNum w:abstractNumId="1632309">
    <w:lvl>
      <w:numFmt w:val="bullet"/>
      <w:suff w:val="tab"/>
      <w:lvlText w:val="￮"/>
      <w:rPr>
        <w:color w:val="3370ff"/>
      </w:rPr>
    </w:lvl>
  </w:abstractNum>
  <w:abstractNum w:abstractNumId="1632310">
    <w:lvl>
      <w:numFmt w:val="bullet"/>
      <w:suff w:val="tab"/>
      <w:lvlText w:val="￮"/>
      <w:rPr>
        <w:color w:val="3370ff"/>
      </w:rPr>
    </w:lvl>
  </w:abstractNum>
  <w:abstractNum w:abstractNumId="1632311">
    <w:lvl>
      <w:start w:val="4"/>
      <w:numFmt w:val="decimal"/>
      <w:suff w:val="tab"/>
      <w:lvlText w:val="%1."/>
      <w:rPr>
        <w:color w:val="3370ff"/>
      </w:rPr>
    </w:lvl>
  </w:abstractNum>
  <w:abstractNum w:abstractNumId="1632312">
    <w:lvl>
      <w:numFmt w:val="bullet"/>
      <w:suff w:val="tab"/>
      <w:lvlText w:val="•"/>
      <w:rPr>
        <w:color w:val="3370ff"/>
      </w:rPr>
    </w:lvl>
  </w:abstractNum>
  <w:abstractNum w:abstractNumId="1632313">
    <w:lvl>
      <w:numFmt w:val="bullet"/>
      <w:suff w:val="tab"/>
      <w:lvlText w:val="•"/>
      <w:rPr>
        <w:color w:val="3370ff"/>
      </w:rPr>
    </w:lvl>
  </w:abstractNum>
  <w:abstractNum w:abstractNumId="1632314">
    <w:lvl>
      <w:numFmt w:val="bullet"/>
      <w:suff w:val="tab"/>
      <w:lvlText w:val="•"/>
      <w:rPr>
        <w:color w:val="3370ff"/>
      </w:rPr>
    </w:lvl>
  </w:abstractNum>
  <w:abstractNum w:abstractNumId="1632315">
    <w:lvl>
      <w:numFmt w:val="bullet"/>
      <w:suff w:val="tab"/>
      <w:lvlText w:val="•"/>
      <w:rPr>
        <w:color w:val="3370ff"/>
      </w:rPr>
    </w:lvl>
  </w:abstractNum>
  <w:abstractNum w:abstractNumId="1632316">
    <w:lvl>
      <w:numFmt w:val="bullet"/>
      <w:suff w:val="tab"/>
      <w:lvlText w:val="•"/>
      <w:rPr>
        <w:color w:val="3370ff"/>
      </w:rPr>
    </w:lvl>
  </w:abstractNum>
  <w:abstractNum w:abstractNumId="1632317">
    <w:lvl>
      <w:numFmt w:val="bullet"/>
      <w:suff w:val="tab"/>
      <w:lvlText w:val="•"/>
      <w:rPr>
        <w:color w:val="3370ff"/>
      </w:rPr>
    </w:lvl>
  </w:abstractNum>
  <w:abstractNum w:abstractNumId="1632318">
    <w:lvl>
      <w:numFmt w:val="bullet"/>
      <w:suff w:val="tab"/>
      <w:lvlText w:val="•"/>
      <w:rPr>
        <w:color w:val="3370ff"/>
      </w:rPr>
    </w:lvl>
  </w:abstractNum>
  <w:abstractNum w:abstractNumId="1632319">
    <w:lvl>
      <w:numFmt w:val="bullet"/>
      <w:suff w:val="tab"/>
      <w:lvlText w:val="•"/>
      <w:rPr>
        <w:color w:val="3370ff"/>
      </w:rPr>
    </w:lvl>
  </w:abstractNum>
  <w:abstractNum w:abstractNumId="1632320">
    <w:lvl>
      <w:numFmt w:val="bullet"/>
      <w:suff w:val="tab"/>
      <w:lvlText w:val="•"/>
      <w:rPr>
        <w:color w:val="3370ff"/>
      </w:rPr>
    </w:lvl>
  </w:abstractNum>
  <w:abstractNum w:abstractNumId="1632321">
    <w:lvl>
      <w:numFmt w:val="bullet"/>
      <w:suff w:val="tab"/>
      <w:lvlText w:val="•"/>
      <w:rPr>
        <w:color w:val="3370ff"/>
      </w:rPr>
    </w:lvl>
  </w:abstractNum>
  <w:abstractNum w:abstractNumId="1632322">
    <w:lvl>
      <w:start w:val="1"/>
      <w:numFmt w:val="lowerLetter"/>
      <w:suff w:val="tab"/>
      <w:lvlText w:val="%1."/>
      <w:rPr>
        <w:color w:val="3370ff"/>
      </w:rPr>
    </w:lvl>
  </w:abstractNum>
  <w:abstractNum w:abstractNumId="1632323">
    <w:lvl>
      <w:start w:val="2"/>
      <w:numFmt w:val="lowerLetter"/>
      <w:suff w:val="tab"/>
      <w:lvlText w:val="%1."/>
      <w:rPr>
        <w:color w:val="3370ff"/>
      </w:rPr>
    </w:lvl>
  </w:abstractNum>
  <w:abstractNum w:abstractNumId="1632324">
    <w:lvl>
      <w:numFmt w:val="bullet"/>
      <w:suff w:val="tab"/>
      <w:lvlText w:val="•"/>
      <w:rPr>
        <w:color w:val="3370ff"/>
      </w:rPr>
    </w:lvl>
  </w:abstractNum>
  <w:abstractNum w:abstractNumId="1632325">
    <w:lvl>
      <w:numFmt w:val="bullet"/>
      <w:suff w:val="tab"/>
      <w:lvlText w:val="•"/>
      <w:rPr>
        <w:color w:val="3370ff"/>
      </w:rPr>
    </w:lvl>
  </w:abstractNum>
  <w:abstractNum w:abstractNumId="1632326">
    <w:lvl>
      <w:numFmt w:val="bullet"/>
      <w:suff w:val="tab"/>
      <w:lvlText w:val="•"/>
      <w:rPr>
        <w:color w:val="3370ff"/>
      </w:rPr>
    </w:lvl>
  </w:abstractNum>
  <w:abstractNum w:abstractNumId="1632327">
    <w:lvl>
      <w:numFmt w:val="bullet"/>
      <w:suff w:val="tab"/>
      <w:lvlText w:val="•"/>
      <w:rPr>
        <w:color w:val="3370ff"/>
      </w:rPr>
    </w:lvl>
  </w:abstractNum>
  <w:abstractNum w:abstractNumId="1632328">
    <w:lvl>
      <w:numFmt w:val="bullet"/>
      <w:suff w:val="tab"/>
      <w:lvlText w:val="•"/>
      <w:rPr>
        <w:color w:val="3370ff"/>
      </w:rPr>
    </w:lvl>
  </w:abstractNum>
  <w:abstractNum w:abstractNumId="1632329">
    <w:lvl>
      <w:numFmt w:val="bullet"/>
      <w:suff w:val="tab"/>
      <w:lvlText w:val="•"/>
      <w:rPr>
        <w:color w:val="3370ff"/>
      </w:rPr>
    </w:lvl>
  </w:abstractNum>
  <w:abstractNum w:abstractNumId="1632330">
    <w:lvl>
      <w:numFmt w:val="bullet"/>
      <w:suff w:val="tab"/>
      <w:lvlText w:val="•"/>
      <w:rPr>
        <w:color w:val="3370ff"/>
      </w:rPr>
    </w:lvl>
  </w:abstractNum>
  <w:abstractNum w:abstractNumId="1632331">
    <w:lvl>
      <w:numFmt w:val="bullet"/>
      <w:suff w:val="tab"/>
      <w:lvlText w:val="•"/>
      <w:rPr>
        <w:color w:val="3370ff"/>
      </w:rPr>
    </w:lvl>
  </w:abstractNum>
  <w:abstractNum w:abstractNumId="1632332">
    <w:lvl>
      <w:numFmt w:val="bullet"/>
      <w:suff w:val="tab"/>
      <w:lvlText w:val="•"/>
      <w:rPr>
        <w:color w:val="3370ff"/>
      </w:rPr>
    </w:lvl>
  </w:abstractNum>
  <w:abstractNum w:abstractNumId="1632333">
    <w:lvl>
      <w:numFmt w:val="bullet"/>
      <w:suff w:val="tab"/>
      <w:lvlText w:val="•"/>
      <w:rPr>
        <w:color w:val="3370ff"/>
      </w:rPr>
    </w:lvl>
  </w:abstractNum>
  <w:abstractNum w:abstractNumId="1632334">
    <w:lvl>
      <w:numFmt w:val="bullet"/>
      <w:suff w:val="tab"/>
      <w:lvlText w:val="•"/>
      <w:rPr>
        <w:color w:val="3370ff"/>
      </w:rPr>
    </w:lvl>
  </w:abstractNum>
  <w:abstractNum w:abstractNumId="1632335">
    <w:lvl>
      <w:numFmt w:val="bullet"/>
      <w:suff w:val="tab"/>
      <w:lvlText w:val="•"/>
      <w:rPr>
        <w:color w:val="3370ff"/>
      </w:rPr>
    </w:lvl>
  </w:abstractNum>
  <w:abstractNum w:abstractNumId="1632336">
    <w:lvl>
      <w:numFmt w:val="bullet"/>
      <w:suff w:val="tab"/>
      <w:lvlText w:val="•"/>
      <w:rPr>
        <w:color w:val="3370ff"/>
      </w:rPr>
    </w:lvl>
  </w:abstractNum>
  <w:abstractNum w:abstractNumId="1632337">
    <w:lvl>
      <w:numFmt w:val="bullet"/>
      <w:suff w:val="tab"/>
      <w:lvlText w:val="•"/>
      <w:rPr>
        <w:color w:val="3370ff"/>
      </w:rPr>
    </w:lvl>
  </w:abstractNum>
  <w:abstractNum w:abstractNumId="1632338">
    <w:lvl>
      <w:numFmt w:val="bullet"/>
      <w:suff w:val="tab"/>
      <w:lvlText w:val="•"/>
      <w:rPr>
        <w:color w:val="3370ff"/>
      </w:rPr>
    </w:lvl>
  </w:abstractNum>
  <w:abstractNum w:abstractNumId="1632339">
    <w:lvl>
      <w:numFmt w:val="bullet"/>
      <w:suff w:val="tab"/>
      <w:lvlText w:val="•"/>
      <w:rPr>
        <w:color w:val="3370ff"/>
      </w:rPr>
    </w:lvl>
  </w:abstractNum>
  <w:abstractNum w:abstractNumId="1632340">
    <w:lvl>
      <w:numFmt w:val="bullet"/>
      <w:suff w:val="tab"/>
      <w:lvlText w:val="•"/>
      <w:rPr>
        <w:color w:val="3370ff"/>
      </w:rPr>
    </w:lvl>
  </w:abstractNum>
  <w:abstractNum w:abstractNumId="1632341">
    <w:lvl>
      <w:numFmt w:val="bullet"/>
      <w:suff w:val="tab"/>
      <w:lvlText w:val="•"/>
      <w:rPr>
        <w:color w:val="3370ff"/>
      </w:rPr>
    </w:lvl>
  </w:abstractNum>
  <w:abstractNum w:abstractNumId="1632342">
    <w:lvl>
      <w:numFmt w:val="bullet"/>
      <w:suff w:val="tab"/>
      <w:lvlText w:val="•"/>
      <w:rPr>
        <w:color w:val="3370ff"/>
      </w:rPr>
    </w:lvl>
  </w:abstractNum>
  <w:abstractNum w:abstractNumId="1632343">
    <w:lvl>
      <w:numFmt w:val="bullet"/>
      <w:suff w:val="tab"/>
      <w:lvlText w:val="•"/>
      <w:rPr>
        <w:color w:val="3370ff"/>
      </w:rPr>
    </w:lvl>
  </w:abstractNum>
  <w:abstractNum w:abstractNumId="1632344">
    <w:lvl>
      <w:numFmt w:val="bullet"/>
      <w:suff w:val="tab"/>
      <w:lvlText w:val="•"/>
      <w:rPr>
        <w:color w:val="3370ff"/>
      </w:rPr>
    </w:lvl>
  </w:abstractNum>
  <w:abstractNum w:abstractNumId="1632345">
    <w:lvl>
      <w:numFmt w:val="bullet"/>
      <w:suff w:val="tab"/>
      <w:lvlText w:val="•"/>
      <w:rPr>
        <w:color w:val="3370ff"/>
      </w:rPr>
    </w:lvl>
  </w:abstractNum>
  <w:abstractNum w:abstractNumId="1632346">
    <w:lvl>
      <w:numFmt w:val="bullet"/>
      <w:suff w:val="tab"/>
      <w:lvlText w:val="•"/>
      <w:rPr>
        <w:color w:val="3370ff"/>
      </w:rPr>
    </w:lvl>
  </w:abstractNum>
  <w:abstractNum w:abstractNumId="1632347">
    <w:lvl>
      <w:numFmt w:val="bullet"/>
      <w:suff w:val="tab"/>
      <w:lvlText w:val="•"/>
      <w:rPr>
        <w:color w:val="3370ff"/>
      </w:rPr>
    </w:lvl>
  </w:abstractNum>
  <w:abstractNum w:abstractNumId="1632348">
    <w:lvl>
      <w:numFmt w:val="bullet"/>
      <w:suff w:val="tab"/>
      <w:lvlText w:val="•"/>
      <w:rPr>
        <w:color w:val="3370ff"/>
      </w:rPr>
    </w:lvl>
  </w:abstractNum>
  <w:abstractNum w:abstractNumId="1632349">
    <w:lvl>
      <w:start w:val="1"/>
      <w:numFmt w:val="decimal"/>
      <w:suff w:val="tab"/>
      <w:lvlText w:val="%1."/>
      <w:rPr>
        <w:color w:val="3370ff"/>
      </w:rPr>
    </w:lvl>
  </w:abstractNum>
  <w:abstractNum w:abstractNumId="1632350">
    <w:lvl>
      <w:start w:val="2"/>
      <w:numFmt w:val="decimal"/>
      <w:suff w:val="tab"/>
      <w:lvlText w:val="%1."/>
      <w:rPr>
        <w:color w:val="3370ff"/>
      </w:rPr>
    </w:lvl>
  </w:abstractNum>
  <w:abstractNum w:abstractNumId="1632351">
    <w:lvl>
      <w:start w:val="3"/>
      <w:numFmt w:val="decimal"/>
      <w:suff w:val="tab"/>
      <w:lvlText w:val="%1."/>
      <w:rPr>
        <w:color w:val="3370ff"/>
      </w:rPr>
    </w:lvl>
  </w:abstractNum>
  <w:abstractNum w:abstractNumId="1632352">
    <w:lvl>
      <w:start w:val="4"/>
      <w:numFmt w:val="decimal"/>
      <w:suff w:val="tab"/>
      <w:lvlText w:val="%1."/>
      <w:rPr>
        <w:color w:val="3370ff"/>
      </w:rPr>
    </w:lvl>
  </w:abstractNum>
  <w:abstractNum w:abstractNumId="1632353">
    <w:lvl>
      <w:start w:val="5"/>
      <w:numFmt w:val="decimal"/>
      <w:suff w:val="tab"/>
      <w:lvlText w:val="%1."/>
      <w:rPr>
        <w:color w:val="3370ff"/>
      </w:rPr>
    </w:lvl>
  </w:abstractNum>
  <w:abstractNum w:abstractNumId="1632354">
    <w:lvl>
      <w:numFmt w:val="bullet"/>
      <w:suff w:val="tab"/>
      <w:lvlText w:val="•"/>
      <w:rPr>
        <w:color w:val="3370ff"/>
      </w:rPr>
    </w:lvl>
  </w:abstractNum>
  <w:abstractNum w:abstractNumId="1632355">
    <w:lvl>
      <w:numFmt w:val="bullet"/>
      <w:suff w:val="tab"/>
      <w:lvlText w:val="•"/>
      <w:rPr>
        <w:color w:val="3370ff"/>
      </w:rPr>
    </w:lvl>
  </w:abstractNum>
  <w:abstractNum w:abstractNumId="1632356">
    <w:lvl>
      <w:numFmt w:val="bullet"/>
      <w:suff w:val="tab"/>
      <w:lvlText w:val="•"/>
      <w:rPr>
        <w:color w:val="3370ff"/>
      </w:rPr>
    </w:lvl>
  </w:abstractNum>
  <w:abstractNum w:abstractNumId="1632357">
    <w:lvl>
      <w:numFmt w:val="bullet"/>
      <w:suff w:val="tab"/>
      <w:lvlText w:val="•"/>
      <w:rPr>
        <w:color w:val="3370ff"/>
      </w:rPr>
    </w:lvl>
  </w:abstractNum>
  <w:abstractNum w:abstractNumId="1632358">
    <w:lvl>
      <w:numFmt w:val="bullet"/>
      <w:suff w:val="tab"/>
      <w:lvlText w:val="•"/>
      <w:rPr>
        <w:color w:val="3370ff"/>
      </w:rPr>
    </w:lvl>
  </w:abstractNum>
  <w:abstractNum w:abstractNumId="1632359">
    <w:lvl>
      <w:numFmt w:val="bullet"/>
      <w:suff w:val="tab"/>
      <w:lvlText w:val="•"/>
      <w:rPr>
        <w:color w:val="3370ff"/>
      </w:rPr>
    </w:lvl>
  </w:abstractNum>
  <w:abstractNum w:abstractNumId="1632360">
    <w:lvl>
      <w:numFmt w:val="bullet"/>
      <w:suff w:val="tab"/>
      <w:lvlText w:val="•"/>
      <w:rPr>
        <w:color w:val="3370ff"/>
      </w:rPr>
    </w:lvl>
  </w:abstractNum>
  <w:abstractNum w:abstractNumId="1632361">
    <w:lvl>
      <w:start w:val="1"/>
      <w:numFmt w:val="decimal"/>
      <w:suff w:val="tab"/>
      <w:lvlText w:val="%1."/>
      <w:rPr>
        <w:color w:val="3370ff"/>
      </w:rPr>
    </w:lvl>
  </w:abstractNum>
  <w:abstractNum w:abstractNumId="1632362">
    <w:lvl>
      <w:start w:val="2"/>
      <w:numFmt w:val="decimal"/>
      <w:suff w:val="tab"/>
      <w:lvlText w:val="%1."/>
      <w:rPr>
        <w:color w:val="3370ff"/>
      </w:rPr>
    </w:lvl>
  </w:abstractNum>
  <w:abstractNum w:abstractNumId="1632363">
    <w:lvl>
      <w:numFmt w:val="bullet"/>
      <w:suff w:val="tab"/>
      <w:lvlText w:val="•"/>
      <w:rPr>
        <w:color w:val="3370ff"/>
      </w:rPr>
    </w:lvl>
  </w:abstractNum>
  <w:abstractNum w:abstractNumId="1632364">
    <w:lvl>
      <w:numFmt w:val="bullet"/>
      <w:suff w:val="tab"/>
      <w:lvlText w:val="•"/>
      <w:rPr>
        <w:color w:val="3370ff"/>
      </w:rPr>
    </w:lvl>
  </w:abstractNum>
  <w:abstractNum w:abstractNumId="1632365">
    <w:lvl>
      <w:start w:val="1"/>
      <w:numFmt w:val="decimal"/>
      <w:suff w:val="tab"/>
      <w:lvlText w:val="%1."/>
      <w:rPr>
        <w:color w:val="3370ff"/>
      </w:rPr>
    </w:lvl>
  </w:abstractNum>
  <w:abstractNum w:abstractNumId="1632366">
    <w:lvl>
      <w:start w:val="2"/>
      <w:numFmt w:val="decimal"/>
      <w:suff w:val="tab"/>
      <w:lvlText w:val="%1."/>
      <w:rPr>
        <w:color w:val="3370ff"/>
      </w:rPr>
    </w:lvl>
  </w:abstractNum>
  <w:abstractNum w:abstractNumId="1632367">
    <w:lvl>
      <w:numFmt w:val="bullet"/>
      <w:suff w:val="tab"/>
      <w:lvlText w:val="•"/>
      <w:rPr>
        <w:color w:val="3370ff"/>
      </w:rPr>
    </w:lvl>
  </w:abstractNum>
  <w:abstractNum w:abstractNumId="1632368">
    <w:lvl>
      <w:numFmt w:val="bullet"/>
      <w:suff w:val="tab"/>
      <w:lvlText w:val="•"/>
      <w:rPr>
        <w:color w:val="3370ff"/>
      </w:rPr>
    </w:lvl>
  </w:abstractNum>
  <w:abstractNum w:abstractNumId="1632369">
    <w:lvl>
      <w:numFmt w:val="bullet"/>
      <w:suff w:val="tab"/>
      <w:lvlText w:val="•"/>
      <w:rPr>
        <w:color w:val="3370ff"/>
      </w:rPr>
    </w:lvl>
  </w:abstractNum>
  <w:abstractNum w:abstractNumId="1632370">
    <w:lvl>
      <w:numFmt w:val="bullet"/>
      <w:suff w:val="tab"/>
      <w:lvlText w:val="•"/>
      <w:rPr>
        <w:color w:val="3370ff"/>
      </w:rPr>
    </w:lvl>
  </w:abstractNum>
  <w:abstractNum w:abstractNumId="1632371">
    <w:lvl>
      <w:numFmt w:val="bullet"/>
      <w:suff w:val="tab"/>
      <w:lvlText w:val="•"/>
      <w:rPr>
        <w:color w:val="3370ff"/>
      </w:rPr>
    </w:lvl>
  </w:abstractNum>
  <w:abstractNum w:abstractNumId="1632372">
    <w:lvl>
      <w:numFmt w:val="bullet"/>
      <w:suff w:val="tab"/>
      <w:lvlText w:val="•"/>
      <w:rPr>
        <w:color w:val="3370ff"/>
      </w:rPr>
    </w:lvl>
  </w:abstractNum>
  <w:abstractNum w:abstractNumId="1632373">
    <w:lvl>
      <w:numFmt w:val="bullet"/>
      <w:suff w:val="tab"/>
      <w:lvlText w:val="•"/>
      <w:rPr>
        <w:color w:val="3370ff"/>
      </w:rPr>
    </w:lvl>
  </w:abstractNum>
  <w:abstractNum w:abstractNumId="1632374">
    <w:lvl>
      <w:start w:val="1"/>
      <w:numFmt w:val="decimal"/>
      <w:suff w:val="tab"/>
      <w:lvlText w:val="%1."/>
      <w:rPr>
        <w:color w:val="3370ff"/>
      </w:rPr>
    </w:lvl>
  </w:abstractNum>
  <w:abstractNum w:abstractNumId="1632375">
    <w:lvl>
      <w:start w:val="2"/>
      <w:numFmt w:val="decimal"/>
      <w:suff w:val="tab"/>
      <w:lvlText w:val="%1."/>
      <w:rPr>
        <w:color w:val="3370ff"/>
      </w:rPr>
    </w:lvl>
  </w:abstractNum>
  <w:abstractNum w:abstractNumId="1632376">
    <w:lvl>
      <w:start w:val="3"/>
      <w:numFmt w:val="decimal"/>
      <w:suff w:val="tab"/>
      <w:lvlText w:val="%1."/>
      <w:rPr>
        <w:color w:val="3370ff"/>
      </w:rPr>
    </w:lvl>
  </w:abstractNum>
  <w:abstractNum w:abstractNumId="1632377">
    <w:lvl>
      <w:start w:val="4"/>
      <w:numFmt w:val="decimal"/>
      <w:suff w:val="tab"/>
      <w:lvlText w:val="%1."/>
      <w:rPr>
        <w:color w:val="3370ff"/>
      </w:rPr>
    </w:lvl>
  </w:abstractNum>
  <w:abstractNum w:abstractNumId="1632378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632241"/>
  </w:num>
  <w:num w:numId="2">
    <w:abstractNumId w:val="1632242"/>
  </w:num>
  <w:num w:numId="3">
    <w:abstractNumId w:val="1632243"/>
  </w:num>
  <w:num w:numId="4">
    <w:abstractNumId w:val="1632244"/>
  </w:num>
  <w:num w:numId="5">
    <w:abstractNumId w:val="1632245"/>
  </w:num>
  <w:num w:numId="6">
    <w:abstractNumId w:val="1632246"/>
  </w:num>
  <w:num w:numId="7">
    <w:abstractNumId w:val="1632247"/>
  </w:num>
  <w:num w:numId="8">
    <w:abstractNumId w:val="1632248"/>
  </w:num>
  <w:num w:numId="9">
    <w:abstractNumId w:val="1632249"/>
  </w:num>
  <w:num w:numId="10">
    <w:abstractNumId w:val="1632250"/>
  </w:num>
  <w:num w:numId="11">
    <w:abstractNumId w:val="1632251"/>
  </w:num>
  <w:num w:numId="12">
    <w:abstractNumId w:val="1632252"/>
  </w:num>
  <w:num w:numId="13">
    <w:abstractNumId w:val="1632253"/>
  </w:num>
  <w:num w:numId="14">
    <w:abstractNumId w:val="1632254"/>
  </w:num>
  <w:num w:numId="15">
    <w:abstractNumId w:val="1632255"/>
  </w:num>
  <w:num w:numId="16">
    <w:abstractNumId w:val="1632256"/>
  </w:num>
  <w:num w:numId="17">
    <w:abstractNumId w:val="1632257"/>
  </w:num>
  <w:num w:numId="18">
    <w:abstractNumId w:val="1632258"/>
  </w:num>
  <w:num w:numId="19">
    <w:abstractNumId w:val="1632259"/>
  </w:num>
  <w:num w:numId="20">
    <w:abstractNumId w:val="1632260"/>
  </w:num>
  <w:num w:numId="21">
    <w:abstractNumId w:val="1632261"/>
  </w:num>
  <w:num w:numId="22">
    <w:abstractNumId w:val="1632262"/>
  </w:num>
  <w:num w:numId="23">
    <w:abstractNumId w:val="1632263"/>
  </w:num>
  <w:num w:numId="24">
    <w:abstractNumId w:val="1632264"/>
  </w:num>
  <w:num w:numId="25">
    <w:abstractNumId w:val="1632265"/>
  </w:num>
  <w:num w:numId="26">
    <w:abstractNumId w:val="1632266"/>
  </w:num>
  <w:num w:numId="27">
    <w:abstractNumId w:val="1632267"/>
  </w:num>
  <w:num w:numId="28">
    <w:abstractNumId w:val="1632268"/>
  </w:num>
  <w:num w:numId="29">
    <w:abstractNumId w:val="1632269"/>
  </w:num>
  <w:num w:numId="30">
    <w:abstractNumId w:val="1632270"/>
  </w:num>
  <w:num w:numId="31">
    <w:abstractNumId w:val="1632271"/>
  </w:num>
  <w:num w:numId="32">
    <w:abstractNumId w:val="1632272"/>
  </w:num>
  <w:num w:numId="33">
    <w:abstractNumId w:val="1632273"/>
  </w:num>
  <w:num w:numId="34">
    <w:abstractNumId w:val="1632274"/>
  </w:num>
  <w:num w:numId="35">
    <w:abstractNumId w:val="1632275"/>
  </w:num>
  <w:num w:numId="36">
    <w:abstractNumId w:val="1632276"/>
  </w:num>
  <w:num w:numId="37">
    <w:abstractNumId w:val="1632277"/>
  </w:num>
  <w:num w:numId="38">
    <w:abstractNumId w:val="1632278"/>
  </w:num>
  <w:num w:numId="39">
    <w:abstractNumId w:val="1632279"/>
  </w:num>
  <w:num w:numId="40">
    <w:abstractNumId w:val="1632280"/>
  </w:num>
  <w:num w:numId="41">
    <w:abstractNumId w:val="1632281"/>
  </w:num>
  <w:num w:numId="42">
    <w:abstractNumId w:val="1632282"/>
  </w:num>
  <w:num w:numId="43">
    <w:abstractNumId w:val="1632283"/>
  </w:num>
  <w:num w:numId="44">
    <w:abstractNumId w:val="1632284"/>
  </w:num>
  <w:num w:numId="45">
    <w:abstractNumId w:val="1632285"/>
  </w:num>
  <w:num w:numId="46">
    <w:abstractNumId w:val="1632286"/>
  </w:num>
  <w:num w:numId="47">
    <w:abstractNumId w:val="1632287"/>
  </w:num>
  <w:num w:numId="48">
    <w:abstractNumId w:val="1632288"/>
  </w:num>
  <w:num w:numId="49">
    <w:abstractNumId w:val="1632289"/>
  </w:num>
  <w:num w:numId="50">
    <w:abstractNumId w:val="1632290"/>
  </w:num>
  <w:num w:numId="51">
    <w:abstractNumId w:val="1632291"/>
  </w:num>
  <w:num w:numId="52">
    <w:abstractNumId w:val="1632292"/>
  </w:num>
  <w:num w:numId="53">
    <w:abstractNumId w:val="1632293"/>
  </w:num>
  <w:num w:numId="54">
    <w:abstractNumId w:val="1632294"/>
  </w:num>
  <w:num w:numId="55">
    <w:abstractNumId w:val="1632295"/>
  </w:num>
  <w:num w:numId="56">
    <w:abstractNumId w:val="1632296"/>
  </w:num>
  <w:num w:numId="57">
    <w:abstractNumId w:val="1632297"/>
  </w:num>
  <w:num w:numId="58">
    <w:abstractNumId w:val="1632298"/>
  </w:num>
  <w:num w:numId="59">
    <w:abstractNumId w:val="1632299"/>
  </w:num>
  <w:num w:numId="60">
    <w:abstractNumId w:val="1632300"/>
  </w:num>
  <w:num w:numId="61">
    <w:abstractNumId w:val="1632301"/>
  </w:num>
  <w:num w:numId="62">
    <w:abstractNumId w:val="1632302"/>
  </w:num>
  <w:num w:numId="63">
    <w:abstractNumId w:val="1632303"/>
  </w:num>
  <w:num w:numId="64">
    <w:abstractNumId w:val="1632304"/>
  </w:num>
  <w:num w:numId="65">
    <w:abstractNumId w:val="1632305"/>
  </w:num>
  <w:num w:numId="66">
    <w:abstractNumId w:val="1632306"/>
  </w:num>
  <w:num w:numId="67">
    <w:abstractNumId w:val="1632307"/>
  </w:num>
  <w:num w:numId="68">
    <w:abstractNumId w:val="1632308"/>
  </w:num>
  <w:num w:numId="69">
    <w:abstractNumId w:val="1632309"/>
  </w:num>
  <w:num w:numId="70">
    <w:abstractNumId w:val="1632310"/>
  </w:num>
  <w:num w:numId="71">
    <w:abstractNumId w:val="1632311"/>
  </w:num>
  <w:num w:numId="72">
    <w:abstractNumId w:val="1632312"/>
  </w:num>
  <w:num w:numId="73">
    <w:abstractNumId w:val="1632313"/>
  </w:num>
  <w:num w:numId="74">
    <w:abstractNumId w:val="1632314"/>
  </w:num>
  <w:num w:numId="75">
    <w:abstractNumId w:val="1632315"/>
  </w:num>
  <w:num w:numId="76">
    <w:abstractNumId w:val="1632316"/>
  </w:num>
  <w:num w:numId="77">
    <w:abstractNumId w:val="1632317"/>
  </w:num>
  <w:num w:numId="78">
    <w:abstractNumId w:val="1632318"/>
  </w:num>
  <w:num w:numId="79">
    <w:abstractNumId w:val="1632319"/>
  </w:num>
  <w:num w:numId="80">
    <w:abstractNumId w:val="1632320"/>
  </w:num>
  <w:num w:numId="81">
    <w:abstractNumId w:val="1632321"/>
  </w:num>
  <w:num w:numId="82">
    <w:abstractNumId w:val="1632322"/>
  </w:num>
  <w:num w:numId="83">
    <w:abstractNumId w:val="1632323"/>
  </w:num>
  <w:num w:numId="84">
    <w:abstractNumId w:val="1632324"/>
  </w:num>
  <w:num w:numId="85">
    <w:abstractNumId w:val="1632325"/>
  </w:num>
  <w:num w:numId="86">
    <w:abstractNumId w:val="1632326"/>
  </w:num>
  <w:num w:numId="87">
    <w:abstractNumId w:val="1632327"/>
  </w:num>
  <w:num w:numId="88">
    <w:abstractNumId w:val="1632328"/>
  </w:num>
  <w:num w:numId="89">
    <w:abstractNumId w:val="1632329"/>
  </w:num>
  <w:num w:numId="90">
    <w:abstractNumId w:val="1632330"/>
  </w:num>
  <w:num w:numId="91">
    <w:abstractNumId w:val="1632331"/>
  </w:num>
  <w:num w:numId="92">
    <w:abstractNumId w:val="1632332"/>
  </w:num>
  <w:num w:numId="93">
    <w:abstractNumId w:val="1632333"/>
  </w:num>
  <w:num w:numId="94">
    <w:abstractNumId w:val="1632334"/>
  </w:num>
  <w:num w:numId="95">
    <w:abstractNumId w:val="1632335"/>
  </w:num>
  <w:num w:numId="96">
    <w:abstractNumId w:val="1632336"/>
  </w:num>
  <w:num w:numId="97">
    <w:abstractNumId w:val="1632337"/>
  </w:num>
  <w:num w:numId="98">
    <w:abstractNumId w:val="1632338"/>
  </w:num>
  <w:num w:numId="99">
    <w:abstractNumId w:val="1632339"/>
  </w:num>
  <w:num w:numId="100">
    <w:abstractNumId w:val="1632340"/>
  </w:num>
  <w:num w:numId="101">
    <w:abstractNumId w:val="1632341"/>
  </w:num>
  <w:num w:numId="102">
    <w:abstractNumId w:val="1632342"/>
  </w:num>
  <w:num w:numId="103">
    <w:abstractNumId w:val="1632343"/>
  </w:num>
  <w:num w:numId="104">
    <w:abstractNumId w:val="1632344"/>
  </w:num>
  <w:num w:numId="105">
    <w:abstractNumId w:val="1632345"/>
  </w:num>
  <w:num w:numId="106">
    <w:abstractNumId w:val="1632346"/>
  </w:num>
  <w:num w:numId="107">
    <w:abstractNumId w:val="1632347"/>
  </w:num>
  <w:num w:numId="108">
    <w:abstractNumId w:val="1632348"/>
  </w:num>
  <w:num w:numId="109">
    <w:abstractNumId w:val="1632349"/>
  </w:num>
  <w:num w:numId="110">
    <w:abstractNumId w:val="1632350"/>
  </w:num>
  <w:num w:numId="111">
    <w:abstractNumId w:val="1632351"/>
  </w:num>
  <w:num w:numId="112">
    <w:abstractNumId w:val="1632352"/>
  </w:num>
  <w:num w:numId="113">
    <w:abstractNumId w:val="1632353"/>
  </w:num>
  <w:num w:numId="114">
    <w:abstractNumId w:val="1632354"/>
  </w:num>
  <w:num w:numId="115">
    <w:abstractNumId w:val="1632355"/>
  </w:num>
  <w:num w:numId="116">
    <w:abstractNumId w:val="1632356"/>
  </w:num>
  <w:num w:numId="117">
    <w:abstractNumId w:val="1632357"/>
  </w:num>
  <w:num w:numId="118">
    <w:abstractNumId w:val="1632358"/>
  </w:num>
  <w:num w:numId="119">
    <w:abstractNumId w:val="1632359"/>
  </w:num>
  <w:num w:numId="120">
    <w:abstractNumId w:val="1632360"/>
  </w:num>
  <w:num w:numId="121">
    <w:abstractNumId w:val="1632361"/>
  </w:num>
  <w:num w:numId="122">
    <w:abstractNumId w:val="1632362"/>
  </w:num>
  <w:num w:numId="123">
    <w:abstractNumId w:val="1632363"/>
  </w:num>
  <w:num w:numId="124">
    <w:abstractNumId w:val="1632364"/>
  </w:num>
  <w:num w:numId="125">
    <w:abstractNumId w:val="1632365"/>
  </w:num>
  <w:num w:numId="126">
    <w:abstractNumId w:val="1632366"/>
  </w:num>
  <w:num w:numId="127">
    <w:abstractNumId w:val="1632367"/>
  </w:num>
  <w:num w:numId="128">
    <w:abstractNumId w:val="1632368"/>
  </w:num>
  <w:num w:numId="129">
    <w:abstractNumId w:val="1632369"/>
  </w:num>
  <w:num w:numId="130">
    <w:abstractNumId w:val="1632370"/>
  </w:num>
  <w:num w:numId="131">
    <w:abstractNumId w:val="1632371"/>
  </w:num>
  <w:num w:numId="132">
    <w:abstractNumId w:val="1632372"/>
  </w:num>
  <w:num w:numId="133">
    <w:abstractNumId w:val="1632373"/>
  </w:num>
  <w:num w:numId="134">
    <w:abstractNumId w:val="1632374"/>
  </w:num>
  <w:num w:numId="135">
    <w:abstractNumId w:val="1632375"/>
  </w:num>
  <w:num w:numId="136">
    <w:abstractNumId w:val="1632376"/>
  </w:num>
  <w:num w:numId="137">
    <w:abstractNumId w:val="1632377"/>
  </w:num>
  <w:num w:numId="138">
    <w:abstractNumId w:val="16323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2026-01-30T08:02:13Z</dcterms:created>
  <dc:creator>Apache POI</dc:creator>
</cp:coreProperties>
</file>