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BIOQL – Strategic Partnership &amp; Valuation Brief</w:t>
      </w:r>
    </w:p>
    <w:p>
      <w:pPr>
        <w:jc w:val="center"/>
      </w:pPr>
      <w:r>
        <w:t>Executive Negotiation Summary – October 2025</w:t>
      </w:r>
    </w:p>
    <w:p/>
    <w:p>
      <w:pPr>
        <w:pStyle w:val="Heading2"/>
      </w:pPr>
      <w:r>
        <w:t>1. Real Valuation &amp; Core Strength</w:t>
      </w:r>
    </w:p>
    <w:p>
      <w:r>
        <w:t>BioQL is a proprietary Natural Language to Quantum Code (NL→QC) compiler built for next-generation drug discovery and CRISPR optimization. The platform integrates six quantum backends (IBM, IonQ, Google, AWS, Azure, Rigetti) and a complete nine-step discovery pipeline powered by the Bio-HNET 4.5B AI model.</w:t>
      </w:r>
    </w:p>
    <w:p>
      <w:r>
        <w:t>• Current Valuation: USD 5–10M pre-money</w:t>
        <w:br/>
        <w:t>• Strategic Value Potential: USD 50–200M</w:t>
        <w:br/>
        <w:t>• Codebase: 56K+ lines, 142 modules, 14 core systems</w:t>
        <w:br/>
        <w:t>• Gross Margin: 99% (SaaS model)</w:t>
        <w:br/>
        <w:t>• IP Portfolio: 3–5 patentable modules (Quantum algorithms + CRISPR-QAI)</w:t>
        <w:br/>
        <w:t>• Replacement Cost: &gt; USD 3M in R&amp;D and compute value</w:t>
      </w:r>
    </w:p>
    <w:p>
      <w:pPr>
        <w:pStyle w:val="Heading2"/>
      </w:pPr>
      <w:r>
        <w:t>2. Growth &amp; Commercialization Outlook</w:t>
      </w:r>
    </w:p>
    <w:p>
      <w:r>
        <w:t>BioQL is transitioning from validation to rapid scale-up, following a clear roadmap toward a $1B+ valuation within 3–5 years.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Timeline</w:t>
            </w:r>
          </w:p>
        </w:tc>
        <w:tc>
          <w:tcPr>
            <w:tcW w:type="dxa" w:w="2160"/>
          </w:tcPr>
          <w:p>
            <w:r>
              <w:t>Key Milestone</w:t>
            </w:r>
          </w:p>
        </w:tc>
        <w:tc>
          <w:tcPr>
            <w:tcW w:type="dxa" w:w="2160"/>
          </w:tcPr>
          <w:p>
            <w:r>
              <w:t>Projected ARR</w:t>
            </w:r>
          </w:p>
        </w:tc>
        <w:tc>
          <w:tcPr>
            <w:tcW w:type="dxa" w:w="2160"/>
          </w:tcPr>
          <w:p>
            <w:r>
              <w:t>Valuation Range (10–25x ARR)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 months</w:t>
            </w:r>
          </w:p>
        </w:tc>
        <w:tc>
          <w:tcPr>
            <w:tcW w:type="dxa" w:w="2160"/>
          </w:tcPr>
          <w:p>
            <w:r>
              <w:t>50 clients</w:t>
            </w:r>
          </w:p>
        </w:tc>
        <w:tc>
          <w:tcPr>
            <w:tcW w:type="dxa" w:w="2160"/>
          </w:tcPr>
          <w:p>
            <w:r>
              <w:t>$1.2M</w:t>
            </w:r>
          </w:p>
        </w:tc>
        <w:tc>
          <w:tcPr>
            <w:tcW w:type="dxa" w:w="2160"/>
          </w:tcPr>
          <w:p>
            <w:r>
              <w:t>$12–30M</w:t>
            </w:r>
          </w:p>
        </w:tc>
      </w:tr>
      <w:tr>
        <w:tc>
          <w:tcPr>
            <w:tcW w:type="dxa" w:w="2160"/>
          </w:tcPr>
          <w:p>
            <w:r>
              <w:t>24 months</w:t>
            </w:r>
          </w:p>
        </w:tc>
        <w:tc>
          <w:tcPr>
            <w:tcW w:type="dxa" w:w="2160"/>
          </w:tcPr>
          <w:p>
            <w:r>
              <w:t>300 clients</w:t>
            </w:r>
          </w:p>
        </w:tc>
        <w:tc>
          <w:tcPr>
            <w:tcW w:type="dxa" w:w="2160"/>
          </w:tcPr>
          <w:p>
            <w:r>
              <w:t>$12M</w:t>
            </w:r>
          </w:p>
        </w:tc>
        <w:tc>
          <w:tcPr>
            <w:tcW w:type="dxa" w:w="2160"/>
          </w:tcPr>
          <w:p>
            <w:r>
              <w:t>$120–300M</w:t>
            </w:r>
          </w:p>
        </w:tc>
      </w:tr>
      <w:tr>
        <w:tc>
          <w:tcPr>
            <w:tcW w:type="dxa" w:w="2160"/>
          </w:tcPr>
          <w:p>
            <w:r>
              <w:t>36 months</w:t>
            </w:r>
          </w:p>
        </w:tc>
        <w:tc>
          <w:tcPr>
            <w:tcW w:type="dxa" w:w="2160"/>
          </w:tcPr>
          <w:p>
            <w:r>
              <w:t>1,200 clients</w:t>
            </w:r>
          </w:p>
        </w:tc>
        <w:tc>
          <w:tcPr>
            <w:tcW w:type="dxa" w:w="2160"/>
          </w:tcPr>
          <w:p>
            <w:r>
              <w:t>$90M</w:t>
            </w:r>
          </w:p>
        </w:tc>
        <w:tc>
          <w:tcPr>
            <w:tcW w:type="dxa" w:w="2160"/>
          </w:tcPr>
          <w:p>
            <w:r>
              <w:t>$900M–2.25B</w:t>
            </w:r>
          </w:p>
        </w:tc>
      </w:tr>
    </w:tbl>
    <w:p>
      <w:pPr>
        <w:pStyle w:val="Heading2"/>
      </w:pPr>
      <w:r>
        <w:t>3. Expected Role of InoSwift Venture Studio</w:t>
      </w:r>
    </w:p>
    <w:p>
      <w:r>
        <w:t>InoSwift’s participation is positioned as that of a strategic accelerator and venture catalyst, not as a controlling acquirer. Their contribution should combine capital, network, and institutional reach to accelerate BioQL’s growth.</w:t>
      </w:r>
    </w:p>
    <w:p>
      <w:r>
        <w:t>• Upfront Technology &amp; Equity Participation: USD 250,000 (cash) for a 20% strategic equity stake in BioQL.</w:t>
        <w:br/>
        <w:t>• Capital Acceleration Commitment: InoSwift will actively introduce and onboard institutional investors to raise an additional USD 1.0–1.5M within six months of closing.</w:t>
        <w:br/>
        <w:t>• Valuation Baseline: No equity dilution below a USD 10M pre-money valuation.</w:t>
        <w:br/>
        <w:t>• Equity Reversion Clause: If the additional capital commitment is not met, InoSwift’s equity automatically adjusts to 5%.</w:t>
      </w:r>
    </w:p>
    <w:p>
      <w:pPr>
        <w:pStyle w:val="Heading2"/>
      </w:pPr>
      <w:r>
        <w:t>4. Partnership Framework</w:t>
      </w:r>
    </w:p>
    <w:p>
      <w:r>
        <w:t>1. Spectrix retains 80% ownership and full control of the BioQL IP.</w:t>
        <w:br/>
        <w:t>2. InoSwift holds a 20% strategic equity stake, contingent upon the capital acceleration clause.</w:t>
        <w:br/>
        <w:t>3. All future transactions, licensing, or exits must reference the USD 5–10M valuation baseline.</w:t>
        <w:br/>
        <w:t>4. The USD 350K total cash commitment (USD 250K upfront + USD 100K in follow-up support) ensures strategic alignment and fair compensation for access and acceleration.</w:t>
      </w:r>
    </w:p>
    <w:p>
      <w:pPr>
        <w:pStyle w:val="Heading2"/>
      </w:pPr>
      <w:r>
        <w:t>5. Conclusion</w:t>
      </w:r>
    </w:p>
    <w:p>
      <w:r>
        <w:t>BioQL is one of the most advanced and commercially validated Quantum-AI platforms in biotechnology, representing a breakthrough in language-to-quantum computation for drug discovery. InoSwift’s participation should begin with a USD 250K upfront contribution, tied to performance-based milestones, establishing a balanced and strategic foundation for long-term collaboration, scale, and value creation.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