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093C" w14:textId="0BCCC56F" w:rsidR="00AE1FB2" w:rsidRDefault="00AE1FB2" w:rsidP="00AE1FB2">
      <w:pPr>
        <w:ind w:firstLine="708"/>
        <w:jc w:val="center"/>
        <w:rPr>
          <w:b/>
          <w:bCs/>
          <w:lang w:val="en-US"/>
        </w:rPr>
      </w:pPr>
      <w:r w:rsidRPr="00AE1FB2">
        <w:rPr>
          <w:b/>
          <w:bCs/>
          <w:lang w:val="en-US"/>
        </w:rPr>
        <w:t>Prediction of PAH Degradation in Bioremediation Research: A Rule-Based Cheminformati</w:t>
      </w:r>
      <w:r>
        <w:rPr>
          <w:b/>
          <w:bCs/>
          <w:lang w:val="en-US"/>
        </w:rPr>
        <w:t xml:space="preserve">cs </w:t>
      </w:r>
      <w:r w:rsidRPr="00AE1FB2">
        <w:rPr>
          <w:b/>
          <w:bCs/>
          <w:lang w:val="en-US"/>
        </w:rPr>
        <w:t>Analysis</w:t>
      </w:r>
    </w:p>
    <w:p w14:paraId="02AB7E8D" w14:textId="34E91CDB" w:rsidR="00410A04" w:rsidRPr="00410A04" w:rsidRDefault="00410A04" w:rsidP="00410A04">
      <w:pPr>
        <w:ind w:firstLine="708"/>
        <w:jc w:val="both"/>
        <w:rPr>
          <w:lang w:val="en-US"/>
        </w:rPr>
      </w:pPr>
      <w:r w:rsidRPr="00410A04">
        <w:rPr>
          <w:lang w:val="en-US"/>
        </w:rPr>
        <w:t>In silico biotransformation predictions aim to identify initial enzymatic attacks, intermediates, and degrading organisms for bioremediation. Polycyclic aromatic hydrocarbons (PAHs) pose structural challenges for these methods</w:t>
      </w:r>
      <w:r w:rsidR="00AE1FB2">
        <w:rPr>
          <w:lang w:val="en-US"/>
        </w:rPr>
        <w:t>.</w:t>
      </w:r>
      <w:r w:rsidR="00AE1FB2" w:rsidRPr="00AE1FB2">
        <w:rPr>
          <w:lang w:val="en-US"/>
        </w:rPr>
        <w:t xml:space="preserve"> Rule-based cheminformatic engines and public pathway annotation are therefore both used to propose degradation routes and candidate organisms</w:t>
      </w:r>
      <w:r w:rsidR="00AE1FB2">
        <w:rPr>
          <w:lang w:val="en-US"/>
        </w:rPr>
        <w:t>. H</w:t>
      </w:r>
      <w:r w:rsidR="00AE1FB2" w:rsidRPr="00AE1FB2">
        <w:rPr>
          <w:lang w:val="en-US"/>
        </w:rPr>
        <w:t xml:space="preserve">owever, how far either approach </w:t>
      </w:r>
      <w:proofErr w:type="gramStart"/>
      <w:r w:rsidR="00AE1FB2" w:rsidRPr="00AE1FB2">
        <w:rPr>
          <w:lang w:val="en-US"/>
        </w:rPr>
        <w:t>actually reaches</w:t>
      </w:r>
      <w:proofErr w:type="gramEnd"/>
      <w:r w:rsidR="00AE1FB2" w:rsidRPr="00AE1FB2">
        <w:rPr>
          <w:lang w:val="en-US"/>
        </w:rPr>
        <w:t xml:space="preserve"> for this compound class has not been measured.</w:t>
      </w:r>
      <w:r w:rsidR="00AE1FB2">
        <w:rPr>
          <w:lang w:val="en-US"/>
        </w:rPr>
        <w:t xml:space="preserve"> </w:t>
      </w:r>
      <w:r w:rsidRPr="00410A04">
        <w:rPr>
          <w:lang w:val="en-US"/>
        </w:rPr>
        <w:t>This study quantifies the limitations of these predictive approaches.</w:t>
      </w:r>
    </w:p>
    <w:p w14:paraId="33D78838" w14:textId="26A341DC" w:rsidR="00410A04" w:rsidRPr="00410A04" w:rsidRDefault="00410A04" w:rsidP="00410A04">
      <w:pPr>
        <w:ind w:firstLine="708"/>
        <w:jc w:val="both"/>
        <w:rPr>
          <w:lang w:val="en-US"/>
        </w:rPr>
      </w:pPr>
      <w:r w:rsidRPr="00410A04">
        <w:rPr>
          <w:lang w:val="en-US"/>
        </w:rPr>
        <w:t xml:space="preserve">Using 16 PAHs, handwritten </w:t>
      </w:r>
      <w:r w:rsidR="00AE1FB2" w:rsidRPr="00AE1FB2">
        <w:rPr>
          <w:lang w:val="en-US"/>
        </w:rPr>
        <w:t xml:space="preserve">reaction transformation rules </w:t>
      </w:r>
      <w:r w:rsidR="00AE1FB2">
        <w:rPr>
          <w:lang w:val="en-US"/>
        </w:rPr>
        <w:t>(</w:t>
      </w:r>
      <w:r w:rsidR="00AE1FB2" w:rsidRPr="00AE1FB2">
        <w:rPr>
          <w:lang w:val="en-US"/>
        </w:rPr>
        <w:t>SMIRKS</w:t>
      </w:r>
      <w:r w:rsidR="00106461">
        <w:rPr>
          <w:lang w:val="en-US"/>
        </w:rPr>
        <w:t>-</w:t>
      </w:r>
      <w:r w:rsidR="00106461" w:rsidRPr="00106461">
        <w:rPr>
          <w:lang w:val="en-US"/>
        </w:rPr>
        <w:t xml:space="preserve"> </w:t>
      </w:r>
      <w:r w:rsidR="00106461">
        <w:rPr>
          <w:lang w:val="en-US"/>
        </w:rPr>
        <w:t>a</w:t>
      </w:r>
      <w:r w:rsidR="00106461" w:rsidRPr="00106461">
        <w:rPr>
          <w:lang w:val="en-US"/>
        </w:rPr>
        <w:t xml:space="preserve"> </w:t>
      </w:r>
      <w:r w:rsidR="00106461">
        <w:rPr>
          <w:lang w:val="en-US"/>
        </w:rPr>
        <w:t>r</w:t>
      </w:r>
      <w:r w:rsidR="00106461" w:rsidRPr="00106461">
        <w:rPr>
          <w:lang w:val="en-US"/>
        </w:rPr>
        <w:t xml:space="preserve">eaction </w:t>
      </w:r>
      <w:r w:rsidR="00106461">
        <w:rPr>
          <w:lang w:val="en-US"/>
        </w:rPr>
        <w:t>t</w:t>
      </w:r>
      <w:r w:rsidR="00106461" w:rsidRPr="00106461">
        <w:rPr>
          <w:lang w:val="en-US"/>
        </w:rPr>
        <w:t xml:space="preserve">ransform </w:t>
      </w:r>
      <w:r w:rsidR="00106461">
        <w:rPr>
          <w:lang w:val="en-US"/>
        </w:rPr>
        <w:t>l</w:t>
      </w:r>
      <w:r w:rsidR="00106461" w:rsidRPr="00106461">
        <w:rPr>
          <w:lang w:val="en-US"/>
        </w:rPr>
        <w:t>anguage</w:t>
      </w:r>
      <w:r w:rsidR="00AE1FB2">
        <w:rPr>
          <w:lang w:val="en-US"/>
        </w:rPr>
        <w:t xml:space="preserve">) </w:t>
      </w:r>
      <w:r w:rsidRPr="00410A04">
        <w:rPr>
          <w:lang w:val="en-US"/>
        </w:rPr>
        <w:t>were developed in</w:t>
      </w:r>
      <w:r w:rsidR="0098240D" w:rsidRPr="0098240D">
        <w:rPr>
          <w:lang w:val="en-US"/>
        </w:rPr>
        <w:t xml:space="preserve"> </w:t>
      </w:r>
      <w:r w:rsidR="0098240D" w:rsidRPr="0098240D">
        <w:rPr>
          <w:lang w:val="en-US"/>
        </w:rPr>
        <w:t xml:space="preserve">software toolkit for cheminformatics </w:t>
      </w:r>
      <w:r w:rsidR="0098240D">
        <w:rPr>
          <w:lang w:val="en-US"/>
        </w:rPr>
        <w:t>(</w:t>
      </w:r>
      <w:proofErr w:type="spellStart"/>
      <w:r w:rsidRPr="00410A04">
        <w:rPr>
          <w:lang w:val="en-US"/>
        </w:rPr>
        <w:t>RDKit</w:t>
      </w:r>
      <w:proofErr w:type="spellEnd"/>
      <w:r w:rsidR="0098240D">
        <w:rPr>
          <w:lang w:val="en-US"/>
        </w:rPr>
        <w:t>)</w:t>
      </w:r>
      <w:r w:rsidRPr="00410A04">
        <w:rPr>
          <w:lang w:val="en-US"/>
        </w:rPr>
        <w:t xml:space="preserve"> to predict initial bacterial oxidation (targeting </w:t>
      </w:r>
      <w:proofErr w:type="spellStart"/>
      <w:r w:rsidRPr="00410A04">
        <w:rPr>
          <w:lang w:val="en-US"/>
        </w:rPr>
        <w:t>dihydrodiol</w:t>
      </w:r>
      <w:proofErr w:type="spellEnd"/>
      <w:r w:rsidRPr="00410A04">
        <w:rPr>
          <w:lang w:val="en-US"/>
        </w:rPr>
        <w:t xml:space="preserve">, catechol, phenol, and quinone families). Predictions were validated against documented metabolic routes in the literature and cross-checked with </w:t>
      </w:r>
      <w:r w:rsidR="00AE1FB2" w:rsidRPr="00AE1FB2">
        <w:rPr>
          <w:lang w:val="en-US"/>
        </w:rPr>
        <w:t>publicly available biodegradation pathway database and prediction system</w:t>
      </w:r>
      <w:r w:rsidR="00AE1FB2">
        <w:rPr>
          <w:lang w:val="en-US"/>
        </w:rPr>
        <w:t xml:space="preserve"> (</w:t>
      </w:r>
      <w:commentRangeStart w:id="0"/>
      <w:r w:rsidRPr="00410A04">
        <w:rPr>
          <w:lang w:val="en-US"/>
        </w:rPr>
        <w:t>EAWAG-BBD/</w:t>
      </w:r>
      <w:proofErr w:type="spellStart"/>
      <w:r w:rsidRPr="00410A04">
        <w:rPr>
          <w:lang w:val="en-US"/>
        </w:rPr>
        <w:t>enviPath</w:t>
      </w:r>
      <w:commentRangeEnd w:id="0"/>
      <w:proofErr w:type="spellEnd"/>
      <w:r w:rsidR="000207C8">
        <w:rPr>
          <w:rStyle w:val="CommentReference"/>
          <w:sz w:val="22"/>
          <w:szCs w:val="22"/>
          <w:lang w:val="en-US"/>
        </w:rPr>
        <w:commentReference w:id="0"/>
      </w:r>
      <w:r w:rsidR="00AE1FB2">
        <w:rPr>
          <w:lang w:val="en-US"/>
        </w:rPr>
        <w:t xml:space="preserve">). </w:t>
      </w:r>
      <w:r w:rsidRPr="00410A04">
        <w:rPr>
          <w:lang w:val="en-US"/>
        </w:rPr>
        <w:t xml:space="preserve">Annotation coverage was evaluated using </w:t>
      </w:r>
      <w:r w:rsidR="0098240D" w:rsidRPr="0098240D">
        <w:rPr>
          <w:lang w:val="en-US"/>
        </w:rPr>
        <w:t>Kyoto Encyclopedia of Genes and Genomes</w:t>
      </w:r>
      <w:r w:rsidR="0098240D" w:rsidRPr="0098240D">
        <w:rPr>
          <w:lang w:val="en-US"/>
        </w:rPr>
        <w:t xml:space="preserve"> </w:t>
      </w:r>
      <w:r w:rsidR="0098240D">
        <w:rPr>
          <w:lang w:val="en-US"/>
        </w:rPr>
        <w:t>(</w:t>
      </w:r>
      <w:r w:rsidRPr="00410A04">
        <w:rPr>
          <w:lang w:val="en-US"/>
        </w:rPr>
        <w:t>KEGG</w:t>
      </w:r>
      <w:r w:rsidR="0098240D">
        <w:rPr>
          <w:lang w:val="en-US"/>
        </w:rPr>
        <w:t>)</w:t>
      </w:r>
      <w:r w:rsidRPr="00410A04">
        <w:rPr>
          <w:lang w:val="en-US"/>
        </w:rPr>
        <w:t xml:space="preserve"> maps and </w:t>
      </w:r>
      <w:proofErr w:type="spellStart"/>
      <w:r w:rsidR="0098240D">
        <w:rPr>
          <w:lang w:val="en-US"/>
        </w:rPr>
        <w:t>o</w:t>
      </w:r>
      <w:r w:rsidRPr="00410A04">
        <w:rPr>
          <w:lang w:val="en-US"/>
        </w:rPr>
        <w:t>rthology</w:t>
      </w:r>
      <w:proofErr w:type="spellEnd"/>
      <w:r w:rsidRPr="00410A04">
        <w:rPr>
          <w:lang w:val="en-US"/>
        </w:rPr>
        <w:t xml:space="preserve"> records, benchmarked against </w:t>
      </w:r>
      <w:r w:rsidR="000207C8">
        <w:rPr>
          <w:lang w:val="en-US"/>
        </w:rPr>
        <w:t xml:space="preserve">more than 650 </w:t>
      </w:r>
      <w:r w:rsidR="00AE1FB2">
        <w:rPr>
          <w:lang w:val="en-US"/>
        </w:rPr>
        <w:t>microorganism’s</w:t>
      </w:r>
      <w:r w:rsidR="00134047">
        <w:rPr>
          <w:lang w:val="en-US"/>
        </w:rPr>
        <w:t xml:space="preserve"> species</w:t>
      </w:r>
      <w:r w:rsidR="000207C8">
        <w:rPr>
          <w:lang w:val="en-US"/>
        </w:rPr>
        <w:t xml:space="preserve"> used in pure cultures experiment.</w:t>
      </w:r>
    </w:p>
    <w:p w14:paraId="62144C20" w14:textId="78E92952" w:rsidR="00410A04" w:rsidRPr="00410A04" w:rsidRDefault="00410A04" w:rsidP="00410A04">
      <w:pPr>
        <w:ind w:firstLine="708"/>
        <w:jc w:val="both"/>
        <w:rPr>
          <w:lang w:val="en-US"/>
        </w:rPr>
      </w:pPr>
      <w:r w:rsidRPr="00410A04">
        <w:rPr>
          <w:lang w:val="en-US"/>
        </w:rPr>
        <w:t xml:space="preserve">The rule engine successfully reproduced 50 of 53 reference bacterial metabolites, showing high class-based recovery (phenol 8/8, </w:t>
      </w:r>
      <w:proofErr w:type="spellStart"/>
      <w:r w:rsidRPr="00410A04">
        <w:rPr>
          <w:lang w:val="en-US"/>
        </w:rPr>
        <w:t>dihydrodiol</w:t>
      </w:r>
      <w:proofErr w:type="spellEnd"/>
      <w:r w:rsidRPr="00410A04">
        <w:rPr>
          <w:lang w:val="en-US"/>
        </w:rPr>
        <w:t xml:space="preserve"> 22/23, catechol 16/17, quinone 4/5). The three failures all involved compounds containing a five-member acenaphthene/acenaphthylene ring. In terms of annotation, only 6 of the 16 PAHs appeared as KEGG substrates. Enzyme and </w:t>
      </w:r>
      <w:proofErr w:type="spellStart"/>
      <w:r w:rsidRPr="00410A04">
        <w:rPr>
          <w:lang w:val="en-US"/>
        </w:rPr>
        <w:t>orthology</w:t>
      </w:r>
      <w:proofErr w:type="spellEnd"/>
      <w:r w:rsidRPr="00410A04">
        <w:rPr>
          <w:lang w:val="en-US"/>
        </w:rPr>
        <w:t xml:space="preserve"> mapping </w:t>
      </w:r>
      <w:proofErr w:type="gramStart"/>
      <w:r w:rsidRPr="00410A04">
        <w:rPr>
          <w:lang w:val="en-US"/>
        </w:rPr>
        <w:t>was</w:t>
      </w:r>
      <w:proofErr w:type="gramEnd"/>
      <w:r w:rsidRPr="00410A04">
        <w:rPr>
          <w:lang w:val="en-US"/>
        </w:rPr>
        <w:t xml:space="preserve"> sparse; four compounds shared the exact enzyme number, while pyrene lacked </w:t>
      </w:r>
      <w:proofErr w:type="spellStart"/>
      <w:r w:rsidRPr="00410A04">
        <w:rPr>
          <w:lang w:val="en-US"/>
        </w:rPr>
        <w:t>orthology</w:t>
      </w:r>
      <w:proofErr w:type="spellEnd"/>
      <w:r w:rsidRPr="00410A04">
        <w:rPr>
          <w:lang w:val="en-US"/>
        </w:rPr>
        <w:t xml:space="preserve"> annotations entirely. Additionally, up to 13 of the 66 benchmark genera</w:t>
      </w:r>
      <w:r>
        <w:rPr>
          <w:lang w:val="en-US"/>
        </w:rPr>
        <w:t xml:space="preserve"> (</w:t>
      </w:r>
      <w:r w:rsidRPr="00410A04">
        <w:rPr>
          <w:lang w:val="en-US"/>
        </w:rPr>
        <w:t>predominantly white rot fungi and algae</w:t>
      </w:r>
      <w:r>
        <w:rPr>
          <w:lang w:val="en-US"/>
        </w:rPr>
        <w:t xml:space="preserve">) </w:t>
      </w:r>
      <w:r w:rsidRPr="00410A04">
        <w:rPr>
          <w:lang w:val="en-US"/>
        </w:rPr>
        <w:t>were missing from the KEGG genome list.</w:t>
      </w:r>
    </w:p>
    <w:p w14:paraId="3484054E" w14:textId="3FB96462" w:rsidR="00410A04" w:rsidRPr="00F026F0" w:rsidRDefault="00410A04" w:rsidP="00410A04">
      <w:pPr>
        <w:ind w:firstLine="708"/>
        <w:jc w:val="both"/>
        <w:rPr>
          <w:lang w:val="en-US"/>
        </w:rPr>
      </w:pPr>
      <w:r w:rsidRPr="00410A04">
        <w:rPr>
          <w:lang w:val="en-US"/>
        </w:rPr>
        <w:t>Predictive accuracy is hindered by rule engines being restricted to specific structural families and the fact that ligninolytic enzymes are not PAH-specific. Incorporating a distinct fungal layer with separate relationship semantics could address this gap. Rather than condensing these diverse evidence sources into a single score, future approaches should evaluate them as separate, mutually controlling relationships within a graph-based framework.</w:t>
      </w:r>
    </w:p>
    <w:sectPr w:rsidR="00410A04" w:rsidRPr="00F026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ławomir Ciesielski" w:date="2026-07-31T21:35:00Z" w:initials="SC">
    <w:p w14:paraId="733E99C6" w14:textId="77777777" w:rsidR="000207C8" w:rsidRDefault="000207C8" w:rsidP="000207C8">
      <w:pPr>
        <w:pStyle w:val="CommentText"/>
      </w:pPr>
      <w:r>
        <w:rPr>
          <w:rStyle w:val="CommentReference"/>
        </w:rPr>
        <w:annotationRef/>
      </w:r>
      <w:r>
        <w:t>It will be not clear for regular participiant of conference.  Maybe we can add something about the role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3E99C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77503F2" w16cex:dateUtc="2026-07-31T1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3E99C6" w16cid:durableId="577503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ławomir Ciesielski">
    <w15:presenceInfo w15:providerId="AD" w15:userId="S::8528@uczelnia.uwm.edu.pl::6e030ffe-b5c3-45eb-abff-8b3d77fd96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F0"/>
    <w:rsid w:val="000207C8"/>
    <w:rsid w:val="00046482"/>
    <w:rsid w:val="00106461"/>
    <w:rsid w:val="00114087"/>
    <w:rsid w:val="00134047"/>
    <w:rsid w:val="00265403"/>
    <w:rsid w:val="003D3DEB"/>
    <w:rsid w:val="00410A04"/>
    <w:rsid w:val="009141DD"/>
    <w:rsid w:val="0098240D"/>
    <w:rsid w:val="00A157D1"/>
    <w:rsid w:val="00AE1FB2"/>
    <w:rsid w:val="00F026F0"/>
    <w:rsid w:val="00FE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EBD7"/>
  <w15:chartTrackingRefBased/>
  <w15:docId w15:val="{496F90C9-4E70-4487-BFF2-988CF486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0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07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07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07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07C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207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340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FlexIT Distribution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Yazicioglu</dc:creator>
  <cp:keywords/>
  <dc:description/>
  <cp:lastModifiedBy>Ahmet Yazicioglu</cp:lastModifiedBy>
  <cp:revision>8</cp:revision>
  <dcterms:created xsi:type="dcterms:W3CDTF">2026-07-31T19:28:00Z</dcterms:created>
  <dcterms:modified xsi:type="dcterms:W3CDTF">2026-07-31T21:43:00Z</dcterms:modified>
</cp:coreProperties>
</file>