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D21F" w14:textId="77777777" w:rsidR="00AB27A8" w:rsidRDefault="00000000">
      <w:pPr>
        <w:pStyle w:val="Title"/>
      </w:pPr>
      <w:r>
        <w:t>MASCARA: coexpression analysis in data from designed experiments</w:t>
      </w:r>
    </w:p>
    <w:p w14:paraId="798AF51E" w14:textId="77777777" w:rsidR="00251FD4" w:rsidRDefault="00251FD4" w:rsidP="00251FD4">
      <w:pPr>
        <w:pStyle w:val="Author"/>
        <w:rPr>
          <w:vertAlign w:val="superscript"/>
        </w:rPr>
      </w:pPr>
      <w:bookmarkStart w:id="0" w:name="abstract"/>
      <w:r>
        <w:t>Fred T.G. White</w:t>
      </w:r>
      <w:r>
        <w:rPr>
          <w:vertAlign w:val="superscript"/>
        </w:rPr>
        <w:t>1,2*</w:t>
      </w:r>
      <w:r>
        <w:t>, Anna Heintz-Buschart</w:t>
      </w:r>
      <w:r>
        <w:rPr>
          <w:vertAlign w:val="superscript"/>
        </w:rPr>
        <w:t>1</w:t>
      </w:r>
      <w:r>
        <w:t xml:space="preserve">, </w:t>
      </w:r>
      <w:proofErr w:type="spellStart"/>
      <w:r>
        <w:t>Lemeng</w:t>
      </w:r>
      <w:proofErr w:type="spellEnd"/>
      <w:r>
        <w:t xml:space="preserve"> Dong</w:t>
      </w:r>
      <w:r>
        <w:rPr>
          <w:vertAlign w:val="superscript"/>
        </w:rPr>
        <w:t>2</w:t>
      </w:r>
      <w:r>
        <w:t>, Harro J. Bouwmeester</w:t>
      </w:r>
      <w:r>
        <w:rPr>
          <w:vertAlign w:val="superscript"/>
        </w:rPr>
        <w:t>2</w:t>
      </w:r>
      <w:r>
        <w:t>, Johan A. Westerhuis</w:t>
      </w:r>
      <w:r>
        <w:rPr>
          <w:vertAlign w:val="superscript"/>
        </w:rPr>
        <w:t>1</w:t>
      </w:r>
      <w:r>
        <w:t>, Age K. Smilde</w:t>
      </w:r>
      <w:r>
        <w:rPr>
          <w:vertAlign w:val="superscript"/>
        </w:rPr>
        <w:t>1</w:t>
      </w:r>
    </w:p>
    <w:p w14:paraId="62EA6CFE" w14:textId="77777777" w:rsidR="00251FD4" w:rsidRDefault="00251FD4" w:rsidP="00251FD4">
      <w:pPr>
        <w:pStyle w:val="BodyText"/>
        <w:numPr>
          <w:ilvl w:val="0"/>
          <w:numId w:val="5"/>
        </w:numPr>
      </w:pPr>
      <w:r>
        <w:t>Biosystems Data Analysis Group, Swammerdam Institute for Life Sciences, University of Amsterdam, Amsterdam, The Netherlands</w:t>
      </w:r>
    </w:p>
    <w:p w14:paraId="56643818" w14:textId="77777777" w:rsidR="00251FD4" w:rsidRDefault="00251FD4" w:rsidP="00251FD4">
      <w:pPr>
        <w:pStyle w:val="BodyText"/>
        <w:numPr>
          <w:ilvl w:val="0"/>
          <w:numId w:val="5"/>
        </w:numPr>
      </w:pPr>
      <w:r>
        <w:t>Plant Hormone Biology Group, Swammerdam Institute for Life Sciences, University of Amsterdam, Amsterdam, The Netherlands</w:t>
      </w:r>
    </w:p>
    <w:p w14:paraId="5DC8D92B" w14:textId="77777777" w:rsidR="00251FD4" w:rsidRDefault="00251FD4" w:rsidP="00251FD4">
      <w:pPr>
        <w:pStyle w:val="BodyText"/>
      </w:pPr>
      <w:r>
        <w:t xml:space="preserve">* </w:t>
      </w:r>
      <w:hyperlink r:id="rId7" w:history="1">
        <w:r w:rsidRPr="00284473">
          <w:rPr>
            <w:rStyle w:val="Hyperlink"/>
          </w:rPr>
          <w:t>f.t.g.white@uva.nl</w:t>
        </w:r>
      </w:hyperlink>
      <w:r>
        <w:t xml:space="preserve"> </w:t>
      </w:r>
    </w:p>
    <w:p w14:paraId="4E25AA40" w14:textId="77777777" w:rsidR="00AB27A8" w:rsidRDefault="00000000">
      <w:pPr>
        <w:pStyle w:val="Heading1"/>
      </w:pPr>
      <w:r>
        <w:t>Abstract</w:t>
      </w:r>
    </w:p>
    <w:p w14:paraId="1601327E" w14:textId="77777777" w:rsidR="00AB27A8" w:rsidRDefault="00000000">
      <w:pPr>
        <w:pStyle w:val="FirstParagraph"/>
      </w:pPr>
      <w:r>
        <w:t>Experiments in plant transcriptomics are usually designed to induce variation in a pathway of interest (POI). Harsh experimental conditions can cause widespread transcriptional changes between groups. Discovering coexpression within a POI (here strigolactones) in this context is hampered by the dominant variance induced by the design. Minor changes in experimental conditions not controlled for may affect the plants, leading to small coordinated differences in genes within POIs and related pathways (RPs) between replicate plants in the same controlled experimental condition. These systematic differences between replicates within the same experimental conditions can be used to detect genes from the same POI or RPs. We introduce a novel framework “MASCARA” 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p w14:paraId="46FACC10" w14:textId="77777777" w:rsidR="00AB27A8" w:rsidRDefault="00000000">
      <w:pPr>
        <w:pStyle w:val="Heading1"/>
      </w:pPr>
      <w:bookmarkStart w:id="1" w:name="introduction"/>
      <w:bookmarkEnd w:id="0"/>
      <w:r>
        <w:t>Introduction</w:t>
      </w:r>
    </w:p>
    <w:p w14:paraId="1E7355CF" w14:textId="77777777" w:rsidR="00AB27A8" w:rsidRDefault="00000000">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w:t>
      </w:r>
      <w:r>
        <w:lastRenderedPageBreak/>
        <w:t>expression analysis (DE; (</w:t>
      </w:r>
      <w:hyperlink w:anchor="X6fa5e42e8bb074aaef1f9066b87c01d4c455181">
        <w:r>
          <w:rPr>
            <w:rStyle w:val="Hyperlink"/>
          </w:rPr>
          <w:t>1</w:t>
        </w:r>
      </w:hyperlink>
      <w:r>
        <w:t>); (</w:t>
      </w:r>
      <w:hyperlink w:anchor="ref-robinsonEdgeRBioconductorPackage2010">
        <w:r>
          <w:rPr>
            <w:rStyle w:val="Hyperlink"/>
          </w:rPr>
          <w:t>2</w:t>
        </w:r>
      </w:hyperlink>
      <w:r>
        <w:t>)) or coexpression analysis (CoE; (</w:t>
      </w:r>
      <w:hyperlink w:anchor="ref-langfelderWGCNAPackageWeighted2008">
        <w:r>
          <w:rPr>
            <w:rStyle w:val="Hyperlink"/>
          </w:rPr>
          <w:t>3</w:t>
        </w:r>
      </w:hyperlink>
      <w:r>
        <w:t>); (</w:t>
      </w:r>
      <w:hyperlink w:anchor="X50bc0c3b60103ad8bb1cb40c349e8e66acca303">
        <w:r>
          <w:rPr>
            <w:rStyle w:val="Hyperlink"/>
          </w:rPr>
          <w:t>4</w:t>
        </w:r>
      </w:hyperlink>
      <w:r>
        <w:t>)). DE is used to determine which genes are expressed differently between two or more experimental conditions, highlighting known or novel pathways affected by the experimental conditions. CoE, on the other hand, aims at discovering genes that are part of a partially characterized POI. Here, the expression profiles of known genes of the POI (termed “baits”) are used to detect novel pathway members with similar expression patterns (here termed “spikes”).</w:t>
      </w:r>
    </w:p>
    <w:p w14:paraId="49AFB16D" w14:textId="77777777" w:rsidR="00AB27A8" w:rsidRDefault="00000000">
      <w:pPr>
        <w:pStyle w:val="CaptionedFigure"/>
      </w:pPr>
      <w:r>
        <w:rPr>
          <w:noProof/>
        </w:rPr>
        <w:drawing>
          <wp:inline distT="0" distB="0" distL="0" distR="0" wp14:anchorId="6AC4E3F4" wp14:editId="1E69F9DF">
            <wp:extent cx="5334000" cy="4000500"/>
            <wp:effectExtent l="0" t="0" r="0" b="0"/>
            <wp:docPr id="22" name="Picture" descr="Figure 1: Pathway types exemplified, POI; pathway of interest, RP; related pathway, URP; unrelated pathway. A represents hypothetical biological pathways, B highlights the problem with detecting these pathways when dealing with data from designed experiments."/>
            <wp:cNvGraphicFramePr/>
            <a:graphic xmlns:a="http://schemas.openxmlformats.org/drawingml/2006/main">
              <a:graphicData uri="http://schemas.openxmlformats.org/drawingml/2006/picture">
                <pic:pic xmlns:pic="http://schemas.openxmlformats.org/drawingml/2006/picture">
                  <pic:nvPicPr>
                    <pic:cNvPr id="23" name="Picture" descr="networktypes.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74368A85" w14:textId="77777777" w:rsidR="00AB27A8" w:rsidRDefault="00000000">
      <w:pPr>
        <w:pStyle w:val="ImageCaption"/>
      </w:pPr>
      <w:bookmarkStart w:id="2" w:name="fig:nettype"/>
      <w:bookmarkEnd w:id="2"/>
      <w:r>
        <w:t>Figure 1: Pathway types exemplified, POI; pathway of interest, RP; related pathway, URP; unrelated pathway. A represents hypothetical biological pathways, B highlights the problem with detecting these pathways when dealing with data from designed experiments.</w:t>
      </w:r>
    </w:p>
    <w:p w14:paraId="6B6D0E0B" w14:textId="0D0E60CE" w:rsidR="00AB27A8" w:rsidRDefault="00000000">
      <w:pPr>
        <w:pStyle w:val="BodyText"/>
      </w:pPr>
      <w:r>
        <w:t xml:space="preserve">Figure 1 outlines pathway nomenclature that will be used throughout this text. Panel </w:t>
      </w:r>
      <w:r>
        <w:rPr>
          <w:i/>
          <w:iCs/>
        </w:rPr>
        <w:t>A</w:t>
      </w:r>
      <w:r>
        <w:t xml:space="preserve"> represents a true hypothetical pathway including a pathway of interest (POI), related pathway (RP) and an unrelated pathway (URP). All three types of pathway are assumed to be affected (dis-)proportionally by the experimental design. URPs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w:t>
      </w:r>
      <w:r w:rsidR="001546C7">
        <w:t xml:space="preserve">panel </w:t>
      </w:r>
      <w:r>
        <w:rPr>
          <w:i/>
          <w:iCs/>
        </w:rPr>
        <w:t>B</w:t>
      </w:r>
      <w:r>
        <w:t xml:space="preserve"> from 1. Concretising this with a biological example; in (</w:t>
      </w:r>
      <w:hyperlink w:anchor="Xc2b17888754b4d684e1893820af32b0e8e89a94">
        <w:r>
          <w:rPr>
            <w:rStyle w:val="Hyperlink"/>
          </w:rPr>
          <w:t>5</w:t>
        </w:r>
      </w:hyperlink>
      <w:r>
        <w:t xml:space="preserve">) a phosphate (P) starvation was </w:t>
      </w:r>
      <w:r>
        <w:lastRenderedPageBreak/>
        <w:t>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hyperlink w:anchor="ref-wangRoleStrigolactonesDeficiency2021">
        <w:r>
          <w:rPr>
            <w:rStyle w:val="Hyperlink"/>
          </w:rPr>
          <w:t>6</w:t>
        </w:r>
      </w:hyperlink>
      <w:r>
        <w:t>)).</w:t>
      </w:r>
    </w:p>
    <w:p w14:paraId="51C0B468" w14:textId="77777777" w:rsidR="00AB27A8" w:rsidRDefault="00000000">
      <w:pPr>
        <w:pStyle w:val="BodyText"/>
      </w:pPr>
      <w:r>
        <w:t>Figure 2 exemplifies between-group and within-group driven correlations from a real dataset ((</w:t>
      </w:r>
      <w:hyperlink w:anchor="Xc2b17888754b4d684e1893820af32b0e8e89a94">
        <w:r>
          <w:rPr>
            <w:rStyle w:val="Hyperlink"/>
          </w:rPr>
          <w:t>5</w:t>
        </w:r>
      </w:hyperlink>
      <w:r>
        <w:t>)). The plots show the relationship between two genes of the POI (</w:t>
      </w:r>
      <w:r>
        <w:rPr>
          <w:i/>
          <w:iCs/>
        </w:rPr>
        <w:t>A</w:t>
      </w:r>
      <w:r>
        <w:t xml:space="preserve"> and </w:t>
      </w:r>
      <w:r>
        <w:rPr>
          <w:i/>
          <w:iCs/>
        </w:rPr>
        <w:t>C</w:t>
      </w:r>
      <w:r>
        <w:t>) and the relationship between two genes that are not part of the same pathway (</w:t>
      </w:r>
      <w:r>
        <w:rPr>
          <w:i/>
          <w:iCs/>
        </w:rPr>
        <w:t>B</w:t>
      </w:r>
      <w:r>
        <w:t xml:space="preserve"> and </w:t>
      </w:r>
      <w:r>
        <w:rPr>
          <w:i/>
          <w:iCs/>
        </w:rPr>
        <w:t>D</w:t>
      </w:r>
      <w:r>
        <w:t xml:space="preserve">). The total correlations in both </w:t>
      </w:r>
      <w:r>
        <w:rPr>
          <w:i/>
          <w:iCs/>
        </w:rPr>
        <w:t>A</w:t>
      </w:r>
      <w:r>
        <w:t xml:space="preserve"> and </w:t>
      </w:r>
      <w:r>
        <w:rPr>
          <w:i/>
          <w:iCs/>
        </w:rPr>
        <w:t>B</w:t>
      </w:r>
      <w:r>
        <w:t xml:space="preserve"> are high but correlation in </w:t>
      </w:r>
      <w:r>
        <w:rPr>
          <w:i/>
          <w:iCs/>
        </w:rPr>
        <w:t>B</w:t>
      </w:r>
      <w:r>
        <w:t xml:space="preserve"> is driven by the between-group variation and not by correlations within experimental groups. The within-group correlation is lower than the total in both cases, but there is a clear trend in </w:t>
      </w:r>
      <w:r>
        <w:rPr>
          <w:i/>
          <w:iCs/>
        </w:rPr>
        <w:t>C</w:t>
      </w:r>
      <w:r>
        <w:t>: P- condition in red. The within group correlation (r) is higher for the first transcript pair (</w:t>
      </w:r>
      <w:r>
        <w:rPr>
          <w:i/>
          <w:iCs/>
        </w:rPr>
        <w:t>C</w:t>
      </w:r>
      <w:r>
        <w:t>) than the second (</w:t>
      </w:r>
      <w:r>
        <w:rPr>
          <w:i/>
          <w:iCs/>
        </w:rPr>
        <w:t>D</w:t>
      </w:r>
      <w:r>
        <w:t xml:space="preserve">), which makes it possible to discern between genes within a POI or RP and genes that both respond similarly to a treatment (URP). Hence, we need to distinguish </w:t>
      </w:r>
      <w:r>
        <w:rPr>
          <w:i/>
          <w:iCs/>
        </w:rPr>
        <w:t>total CoE</w:t>
      </w:r>
      <w:r>
        <w:t xml:space="preserve"> which is calculated on the total variance and </w:t>
      </w:r>
      <w:r>
        <w:rPr>
          <w:i/>
          <w:iCs/>
        </w:rPr>
        <w:t>within-group CoE</w:t>
      </w:r>
      <w:r>
        <w:t xml:space="preserve"> where the focus is on the shared variance within experimental groups.</w:t>
      </w:r>
    </w:p>
    <w:p w14:paraId="68D5CFB9" w14:textId="77777777" w:rsidR="00AB27A8" w:rsidRDefault="00000000">
      <w:pPr>
        <w:pStyle w:val="BodyText"/>
      </w:pPr>
      <w:r>
        <w:t>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within a group may be slightly bigger than the others and therefore respond slightly different to a treatment. This could results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14:paraId="6D8ED328" w14:textId="77777777" w:rsidR="00AB27A8" w:rsidRDefault="00000000">
      <w:pPr>
        <w:pStyle w:val="BodyText"/>
      </w:pPr>
      <w:r>
        <w:t xml:space="preserve">Considering this within-group variance increases the strength of coexpression analysis, for example, in experiments where the intervention causes large between-group differences in many genes. Not making the distinction between types of variance results in </w:t>
      </w:r>
      <w:r>
        <w:rPr>
          <w:i/>
          <w:iCs/>
        </w:rPr>
        <w:t>total CoE</w:t>
      </w:r>
      <w:r>
        <w:t xml:space="preserve"> associations driven by the differences between treatment groups as opposed to within group correlations. (</w:t>
      </w:r>
      <w:hyperlink w:anchor="Xc2b17888754b4d684e1893820af32b0e8e89a94">
        <w:r>
          <w:rPr>
            <w:rStyle w:val="Hyperlink"/>
          </w:rPr>
          <w:t>5</w:t>
        </w:r>
      </w:hyperlink>
      <w:r>
        <w:t>) 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 (</w:t>
      </w:r>
      <w:hyperlink w:anchor="ref-saccentiWhatCanGo2023">
        <w:r>
          <w:rPr>
            <w:rStyle w:val="Hyperlink"/>
          </w:rPr>
          <w:t>7</w:t>
        </w:r>
      </w:hyperlink>
      <w:r>
        <w:t>) 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14:paraId="1B479567" w14:textId="77777777" w:rsidR="00AB27A8" w:rsidRDefault="00000000">
      <w:pPr>
        <w:pStyle w:val="CaptionedFigure"/>
      </w:pPr>
      <w:r>
        <w:rPr>
          <w:noProof/>
        </w:rPr>
        <w:lastRenderedPageBreak/>
        <w:drawing>
          <wp:inline distT="0" distB="0" distL="0" distR="0" wp14:anchorId="62A3A35F" wp14:editId="3ABF58AA">
            <wp:extent cx="5334000" cy="3380974"/>
            <wp:effectExtent l="0" t="0" r="0" b="0"/>
            <wp:docPr id="26" name="Picture"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wp:cNvGraphicFramePr/>
            <a:graphic xmlns:a="http://schemas.openxmlformats.org/drawingml/2006/main">
              <a:graphicData uri="http://schemas.openxmlformats.org/drawingml/2006/picture">
                <pic:pic xmlns:pic="http://schemas.openxmlformats.org/drawingml/2006/picture">
                  <pic:nvPicPr>
                    <pic:cNvPr id="27" name="Picture" descr="within_between_example_2.png"/>
                    <pic:cNvPicPr>
                      <a:picLocks noChangeAspect="1" noChangeArrowheads="1"/>
                    </pic:cNvPicPr>
                  </pic:nvPicPr>
                  <pic:blipFill>
                    <a:blip r:embed="rId9"/>
                    <a:stretch>
                      <a:fillRect/>
                    </a:stretch>
                  </pic:blipFill>
                  <pic:spPr bwMode="auto">
                    <a:xfrm>
                      <a:off x="0" y="0"/>
                      <a:ext cx="5334000" cy="3380974"/>
                    </a:xfrm>
                    <a:prstGeom prst="rect">
                      <a:avLst/>
                    </a:prstGeom>
                    <a:noFill/>
                    <a:ln w="9525">
                      <a:noFill/>
                      <a:headEnd/>
                      <a:tailEnd/>
                    </a:ln>
                  </pic:spPr>
                </pic:pic>
              </a:graphicData>
            </a:graphic>
          </wp:inline>
        </w:drawing>
      </w:r>
    </w:p>
    <w:p w14:paraId="243B4B3D" w14:textId="77777777" w:rsidR="00AB27A8" w:rsidRDefault="00000000">
      <w:pPr>
        <w:pStyle w:val="ImageCaption"/>
      </w:pPr>
      <w:bookmarkStart w:id="3" w:name="fig:withinbetween"/>
      <w:bookmarkEnd w:id="3"/>
      <w:r>
        <w:t>Figure 2: Correlation examples, Pearson’s correlation coefficient (r) indicated in facet titles. Data from (</w:t>
      </w:r>
      <w:hyperlink w:anchor="Xc2b17888754b4d684e1893820af32b0e8e89a94">
        <w:r>
          <w:rPr>
            <w:rStyle w:val="Hyperlink"/>
          </w:rPr>
          <w:t>5</w:t>
        </w:r>
      </w:hyperlink>
      <w:r>
        <w:t xml:space="preserve">). X axes, expression levels of MAX1 gene (Os01t0700900–01) in rice, Y axes expression levels of example coexpression candidates, aribitrary units. Top row A-B; </w:t>
      </w:r>
      <w:r>
        <w:rPr>
          <w:iCs/>
        </w:rPr>
        <w:t>total CoE</w:t>
      </w:r>
      <w:r>
        <w:t xml:space="preserve">, bottom row C-D </w:t>
      </w:r>
      <w:r>
        <w:rPr>
          <w:iCs/>
        </w:rPr>
        <w:t>within-group CoE</w:t>
      </w:r>
      <w:r>
        <w:t xml:space="preserv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14:paraId="11C22D31" w14:textId="77777777" w:rsidR="00AB27A8" w:rsidRDefault="00000000">
      <w:pPr>
        <w:pStyle w:val="BodyText"/>
      </w:pPr>
      <w:r>
        <w:t>For a successful coexpression analysis it is necessary to have a predefined set of baits that are already known to be involved in the mechanism under study. Methods like ranked correlations and partial least squares regression (PLS; (</w:t>
      </w:r>
      <w:hyperlink w:anchor="Xd0e6c30a697db42abb2065af1a17da6eb418ea3">
        <w:r>
          <w:rPr>
            <w:rStyle w:val="Hyperlink"/>
          </w:rPr>
          <w:t>8</w:t>
        </w:r>
      </w:hyperlink>
      <w:r>
        <w:t>); (</w:t>
      </w:r>
      <w:hyperlink w:anchor="ref-woldCollinearityProblemLinear1984">
        <w:r>
          <w:rPr>
            <w:rStyle w:val="Hyperlink"/>
          </w:rPr>
          <w:t>9</w:t>
        </w:r>
      </w:hyperlink>
      <w:r>
        <w:t>))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14:paraId="614C75F5" w14:textId="77777777" w:rsidR="00AB27A8" w:rsidRDefault="00000000">
      <w:pPr>
        <w:pStyle w:val="BodyText"/>
      </w:pPr>
      <w:r>
        <w:t>The most widely known and applied method that investigates variance sources is the analysis of variance (ANOVA; (</w:t>
      </w:r>
      <w:hyperlink w:anchor="ref-searleLinearModels1971">
        <w:r>
          <w:rPr>
            <w:rStyle w:val="Hyperlink"/>
          </w:rPr>
          <w:t>10</w:t>
        </w:r>
      </w:hyperlink>
      <w:r>
        <w:t>)). ANOVA simultaneous component analysis (ASCA; (</w:t>
      </w:r>
      <w:hyperlink w:anchor="Xaca7e11f7e5f0a0465524ca94b5740f80e57dcd">
        <w:r>
          <w:rPr>
            <w:rStyle w:val="Hyperlink"/>
          </w:rPr>
          <w:t>11</w:t>
        </w:r>
      </w:hyperlink>
      <w:r>
        <w:t>)) and its extension to imbalanced data via the generalised linear model (ASCA+; (</w:t>
      </w:r>
      <w:hyperlink w:anchor="ref-thielASCAAPCAExtensions2017">
        <w:r>
          <w:rPr>
            <w:rStyle w:val="Hyperlink"/>
          </w:rPr>
          <w:t>12</w:t>
        </w:r>
      </w:hyperlink>
      <w:r>
        <w:t xml:space="preserve">)) have been developed to combine principal component analysis (PCA) with ANOVA and can therefore account for experimental design in dimensionality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lastRenderedPageBreak/>
        <w:t>((</w:t>
      </w:r>
      <w:hyperlink w:anchor="ref-augerGeneCoexpressionNetwork2022">
        <w:r>
          <w:rPr>
            <w:rStyle w:val="Hyperlink"/>
          </w:rPr>
          <w:t>13</w:t>
        </w:r>
      </w:hyperlink>
      <w:r>
        <w:t>), (</w:t>
      </w:r>
      <w:hyperlink w:anchor="ref-renRNABindingProteins2023">
        <w:r>
          <w:rPr>
            <w:rStyle w:val="Hyperlink"/>
          </w:rPr>
          <w:t>14</w:t>
        </w:r>
      </w:hyperlink>
      <w:r>
        <w:t>), (</w:t>
      </w:r>
      <w:hyperlink w:anchor="ref-nuedaDiscoveringGeneExpression2007">
        <w:r>
          <w:rPr>
            <w:rStyle w:val="Hyperlink"/>
          </w:rPr>
          <w:t>15</w:t>
        </w:r>
      </w:hyperlink>
      <w:r>
        <w:t>), (</w:t>
      </w:r>
      <w:hyperlink w:anchor="ref-jarmundALASCAPackageLongitudinal2022">
        <w:r>
          <w:rPr>
            <w:rStyle w:val="Hyperlink"/>
          </w:rPr>
          <w:t>16</w:t>
        </w:r>
      </w:hyperlink>
      <w:r>
        <w:t>)) and CoE ((</w:t>
      </w:r>
      <w:hyperlink w:anchor="ref-guanSRGSSparsePartial2022">
        <w:r>
          <w:rPr>
            <w:rStyle w:val="Hyperlink"/>
          </w:rPr>
          <w:t>17</w:t>
        </w:r>
      </w:hyperlink>
      <w:r>
        <w:t>), (</w:t>
      </w:r>
      <w:hyperlink w:anchor="ref-nuedaFunctionalAssessmentTime2009">
        <w:r>
          <w:rPr>
            <w:rStyle w:val="Hyperlink"/>
          </w:rPr>
          <w:t>18</w:t>
        </w:r>
      </w:hyperlink>
      <w:r>
        <w:t>)). ASCA and PLS have been combined before in (</w:t>
      </w:r>
      <w:hyperlink w:anchor="ref-thissenImprovingAnalysisDesigned2009">
        <w:r>
          <w:rPr>
            <w:rStyle w:val="Hyperlink"/>
          </w:rPr>
          <w:t>19</w:t>
        </w:r>
      </w:hyperlink>
      <w:r>
        <w:t>) creating ANOVA-PLS, however the goal of their study was not coexpression analysis. Neither of these methods are optimal by themselves for CoE in the context of large between group variance with known baits.</w:t>
      </w:r>
    </w:p>
    <w:p w14:paraId="4D562AF2" w14:textId="77777777" w:rsidR="00AB27A8" w:rsidRDefault="00000000">
      <w:pPr>
        <w:pStyle w:val="BodyText"/>
      </w:pPr>
      <w:r>
        <w:t>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variance is further analysed to investigate the multivariate relationships between baits and the putative spikes in terms of within-group CoE.</w:t>
      </w:r>
    </w:p>
    <w:p w14:paraId="7DBA51D0" w14:textId="77777777" w:rsidR="00AB27A8" w:rsidRDefault="00000000">
      <w:pPr>
        <w:pStyle w:val="BodyText"/>
      </w:pPr>
      <w:r>
        <w:t>To explore the utility of MASCARA, the method will be compared to ASCA, PLS2 and correlation analysis illustrated using an example RNAseq dataset (from (</w:t>
      </w:r>
      <w:hyperlink w:anchor="Xc2b17888754b4d684e1893820af32b0e8e89a94">
        <w:r>
          <w:rPr>
            <w:rStyle w:val="Hyperlink"/>
          </w:rPr>
          <w:t>5</w:t>
        </w:r>
      </w:hyperlink>
      <w:r>
        <w:t>)).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p w14:paraId="6FE198D6" w14:textId="77777777" w:rsidR="00AB27A8" w:rsidRDefault="00000000">
      <w:pPr>
        <w:pStyle w:val="Heading1"/>
      </w:pPr>
      <w:bookmarkStart w:id="4" w:name="materials-and-methods"/>
      <w:bookmarkEnd w:id="1"/>
      <w:r>
        <w:t>Materials and Methods</w:t>
      </w:r>
    </w:p>
    <w:p w14:paraId="3CB148BF" w14:textId="77777777" w:rsidR="00AB27A8" w:rsidRDefault="00000000">
      <w:pPr>
        <w:pStyle w:val="Heading2"/>
      </w:pPr>
      <w:bookmarkStart w:id="5" w:name="Xce1f16c8de38c705a0e09bf7844457a4b4819e2"/>
      <w:r>
        <w:t>RNAseq - Rice strigolactone dataset (</w:t>
      </w:r>
      <w:hyperlink w:anchor="Xc2b17888754b4d684e1893820af32b0e8e89a94">
        <w:r>
          <w:rPr>
            <w:rStyle w:val="Hyperlink"/>
          </w:rPr>
          <w:t>5</w:t>
        </w:r>
      </w:hyperlink>
      <w:r>
        <w:t>)</w:t>
      </w:r>
    </w:p>
    <w:p w14:paraId="78409CBA" w14:textId="77777777" w:rsidR="00AB27A8" w:rsidRDefault="00000000">
      <w:pPr>
        <w:pStyle w:val="FirstParagraph"/>
      </w:pPr>
      <w:r>
        <w:t>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 a specific profile: low variance baseline expression across all time points in the P+ condition but activation and increasing expression over time with P starvation, data were generated and preprocessed to variance stabilised counts as per (</w:t>
      </w:r>
      <w:hyperlink w:anchor="Xc2b17888754b4d684e1893820af32b0e8e89a94">
        <w:r>
          <w:rPr>
            <w:rStyle w:val="Hyperlink"/>
          </w:rPr>
          <w:t>5</w:t>
        </w:r>
      </w:hyperlink>
      <w:r>
        <w:t>).</w:t>
      </w:r>
    </w:p>
    <w:p w14:paraId="61C98780" w14:textId="77777777" w:rsidR="00AB27A8" w:rsidRDefault="00000000">
      <w:pPr>
        <w:pStyle w:val="BodyText"/>
      </w:pPr>
      <w:r>
        <w:lastRenderedPageBreak/>
        <w:t>Figure 3 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14:paraId="0B602420" w14:textId="77777777" w:rsidR="00AB27A8" w:rsidRDefault="00000000">
      <w:pPr>
        <w:pStyle w:val="BodyText"/>
      </w:pPr>
      <w:r>
        <w:t>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 4 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14:paraId="0256A550" w14:textId="77777777" w:rsidR="00AB27A8" w:rsidRDefault="00000000">
      <w:pPr>
        <w:pStyle w:val="BodyText"/>
      </w:pPr>
      <w:r>
        <w:t>This marks the goal of this paper, which is to detect within-group coexpressed genes (POI/RP) with a set of baits preferentially to other differentially expressed genes that are not part of the same pathway (URPs, with a different within-group structure).</w:t>
      </w:r>
    </w:p>
    <w:p w14:paraId="51109EB1" w14:textId="77777777" w:rsidR="00AB27A8" w:rsidRDefault="00000000">
      <w:pPr>
        <w:pStyle w:val="CaptionedFigure"/>
      </w:pPr>
      <w:r>
        <w:rPr>
          <w:noProof/>
        </w:rPr>
        <w:lastRenderedPageBreak/>
        <w:drawing>
          <wp:inline distT="0" distB="0" distL="0" distR="0" wp14:anchorId="59B953D6" wp14:editId="35D23007">
            <wp:extent cx="5334000" cy="4917531"/>
            <wp:effectExtent l="0" t="0" r="0" b="0"/>
            <wp:docPr id="31" name="Picture"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wp:cNvGraphicFramePr/>
            <a:graphic xmlns:a="http://schemas.openxmlformats.org/drawingml/2006/main">
              <a:graphicData uri="http://schemas.openxmlformats.org/drawingml/2006/picture">
                <pic:pic xmlns:pic="http://schemas.openxmlformats.org/drawingml/2006/picture">
                  <pic:nvPicPr>
                    <pic:cNvPr id="32" name="Picture" descr="MASCARA_heatmap.png"/>
                    <pic:cNvPicPr>
                      <a:picLocks noChangeAspect="1" noChangeArrowheads="1"/>
                    </pic:cNvPicPr>
                  </pic:nvPicPr>
                  <pic:blipFill>
                    <a:blip r:embed="rId10"/>
                    <a:stretch>
                      <a:fillRect/>
                    </a:stretch>
                  </pic:blipFill>
                  <pic:spPr bwMode="auto">
                    <a:xfrm>
                      <a:off x="0" y="0"/>
                      <a:ext cx="5334000" cy="4917531"/>
                    </a:xfrm>
                    <a:prstGeom prst="rect">
                      <a:avLst/>
                    </a:prstGeom>
                    <a:noFill/>
                    <a:ln w="9525">
                      <a:noFill/>
                      <a:headEnd/>
                      <a:tailEnd/>
                    </a:ln>
                  </pic:spPr>
                </pic:pic>
              </a:graphicData>
            </a:graphic>
          </wp:inline>
        </w:drawing>
      </w:r>
    </w:p>
    <w:p w14:paraId="05A4C1BA" w14:textId="77777777" w:rsidR="00AB27A8" w:rsidRDefault="00000000">
      <w:pPr>
        <w:pStyle w:val="ImageCaption"/>
      </w:pPr>
      <w:bookmarkStart w:id="6" w:name="fig:Dataset1-Overview"/>
      <w:bookmarkEnd w:id="6"/>
      <w:r>
        <w:t>Figure 3: Real data overview. RNAseq of rice root. Heatmap of SL pathway and example highly differential genes. Data and preprocessing from (</w:t>
      </w:r>
      <w:hyperlink w:anchor="Xc2b17888754b4d684e1893820af32b0e8e89a94">
        <w:r>
          <w:rPr>
            <w:rStyle w:val="Hyperlink"/>
          </w:rPr>
          <w:t>5</w:t>
        </w:r>
      </w:hyperlink>
      <w:r>
        <w:t>), genes autoscaled i.e. blue indicates no/low expression and red indicates higher expression. IDs with functional annotations in supplementary table 1.</w:t>
      </w:r>
    </w:p>
    <w:p w14:paraId="1CA8A363" w14:textId="77777777" w:rsidR="00AB27A8" w:rsidRDefault="00000000">
      <w:pPr>
        <w:pStyle w:val="CaptionedFigure"/>
      </w:pPr>
      <w:r>
        <w:rPr>
          <w:noProof/>
        </w:rPr>
        <w:lastRenderedPageBreak/>
        <w:drawing>
          <wp:inline distT="0" distB="0" distL="0" distR="0" wp14:anchorId="5B895CF9" wp14:editId="3FC0B3E5">
            <wp:extent cx="5334000" cy="2442072"/>
            <wp:effectExtent l="0" t="0" r="0" b="0"/>
            <wp:docPr id="35" name="Picture" descr="Figure 4: Scores and loadings of the ASCA model of the combined effect (condition + condition:time interaction), model indicates samples and genes relative positions in the designed variance. g_c indicates growth condition, time indicates days after starvation induction."/>
            <wp:cNvGraphicFramePr/>
            <a:graphic xmlns:a="http://schemas.openxmlformats.org/drawingml/2006/main">
              <a:graphicData uri="http://schemas.openxmlformats.org/drawingml/2006/picture">
                <pic:pic xmlns:pic="http://schemas.openxmlformats.org/drawingml/2006/picture">
                  <pic:nvPicPr>
                    <pic:cNvPr id="36" name="Picture" descr="rice_s_l.png"/>
                    <pic:cNvPicPr>
                      <a:picLocks noChangeAspect="1" noChangeArrowheads="1"/>
                    </pic:cNvPicPr>
                  </pic:nvPicPr>
                  <pic:blipFill>
                    <a:blip r:embed="rId11"/>
                    <a:stretch>
                      <a:fillRect/>
                    </a:stretch>
                  </pic:blipFill>
                  <pic:spPr bwMode="auto">
                    <a:xfrm>
                      <a:off x="0" y="0"/>
                      <a:ext cx="5334000" cy="2442072"/>
                    </a:xfrm>
                    <a:prstGeom prst="rect">
                      <a:avLst/>
                    </a:prstGeom>
                    <a:noFill/>
                    <a:ln w="9525">
                      <a:noFill/>
                      <a:headEnd/>
                      <a:tailEnd/>
                    </a:ln>
                  </pic:spPr>
                </pic:pic>
              </a:graphicData>
            </a:graphic>
          </wp:inline>
        </w:drawing>
      </w:r>
    </w:p>
    <w:p w14:paraId="0C90C3E4" w14:textId="77777777" w:rsidR="00AB27A8" w:rsidRDefault="00000000">
      <w:pPr>
        <w:pStyle w:val="ImageCaption"/>
      </w:pPr>
      <w:bookmarkStart w:id="7" w:name="fig:ASCA-1"/>
      <w:bookmarkEnd w:id="7"/>
      <w:r>
        <w:t xml:space="preserve">Figure 4: Scores and loadings of the ASCA model of the combined effect (condition + condition:time interaction), model indicates samples and genes relative positions in the designed variance. </w:t>
      </w:r>
      <w:r>
        <w:rPr>
          <w:iCs/>
        </w:rPr>
        <w:t>g_c</w:t>
      </w:r>
      <w:r>
        <w:t xml:space="preserve"> indicates growth condition, </w:t>
      </w:r>
      <w:r>
        <w:rPr>
          <w:iCs/>
        </w:rPr>
        <w:t>time</w:t>
      </w:r>
      <w:r>
        <w:t xml:space="preserve"> indicates days after starvation induction.</w:t>
      </w:r>
    </w:p>
    <w:p w14:paraId="28B7BAC6" w14:textId="77777777" w:rsidR="00AB27A8" w:rsidRDefault="00000000">
      <w:pPr>
        <w:pStyle w:val="Heading2"/>
      </w:pPr>
      <w:bookmarkStart w:id="8" w:name="simulations"/>
      <w:bookmarkEnd w:id="5"/>
      <w:r>
        <w:t>Simulations</w:t>
      </w:r>
    </w:p>
    <w:p w14:paraId="2B851992" w14:textId="77777777" w:rsidR="00AB27A8" w:rsidRDefault="00000000">
      <w:pPr>
        <w:pStyle w:val="FirstParagraph"/>
      </w:pPr>
      <w:r>
        <w:t>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14:paraId="2C32AF23" w14:textId="77777777" w:rsidR="00AB27A8" w:rsidRDefault="00000000">
      <w:pPr>
        <w:pStyle w:val="BodyText"/>
      </w:pPr>
      <w:r>
        <w:t>The simulations are built upon the results of the ASCA analysis of the combined effect of growth condition and the interaction of growth condition and time (see Figure 4 for overview). The simulated data is created by simulating score and loading values (as in Figure 5) for the combined effect (</w:t>
      </w:r>
      <m:oMath>
        <m:r>
          <w:rPr>
            <w:rFonts w:ascii="Cambria Math" w:hAnsi="Cambria Math"/>
          </w:rPr>
          <m:t>α</m:t>
        </m:r>
        <m:r>
          <m:rPr>
            <m:sty m:val="p"/>
          </m:rPr>
          <w:rPr>
            <w:rFonts w:ascii="Cambria Math" w:hAnsi="Cambria Math"/>
          </w:rPr>
          <m:t>+</m:t>
        </m:r>
        <m:r>
          <w:rPr>
            <w:rFonts w:ascii="Cambria Math" w:hAnsi="Cambria Math"/>
          </w:rPr>
          <m:t>αβ</m:t>
        </m:r>
      </m:oMath>
      <w:r>
        <w:t xml:space="preserve">) ) explaining the difference in time profiles of the P+ and P- condition and the main time effect </w:t>
      </w:r>
      <m:oMath>
        <m:r>
          <w:rPr>
            <w:rFonts w:ascii="Cambria Math" w:hAnsi="Cambria Math"/>
          </w:rPr>
          <m:t>β</m:t>
        </m:r>
      </m:oMath>
      <w:r>
        <w:t>, as well as, structured ambient variance (</w:t>
      </w:r>
      <m:oMath>
        <m:r>
          <w:rPr>
            <w:rFonts w:ascii="Cambria Math" w:hAnsi="Cambria Math"/>
          </w:rPr>
          <m:t>S</m:t>
        </m:r>
      </m:oMath>
      <w:r>
        <w:t>). This is to mimic variance due to gene expression as a function of growth condition and time as well as variance due to coexpression of genes in the same pathway on top of this experimentally induced DE variance.</w:t>
      </w:r>
    </w:p>
    <w:p w14:paraId="2F7594ED" w14:textId="77777777" w:rsidR="00AB27A8" w:rsidRDefault="00000000">
      <w:pPr>
        <w:pStyle w:val="Heading2"/>
      </w:pPr>
      <w:bookmarkStart w:id="9" w:name="X46a0c936cbc4c0021f3a8d459d4da7425c5782d"/>
      <w:bookmarkEnd w:id="8"/>
      <w:r>
        <w:t>Data simulation 1: Combined effect size and number of differential genes</w:t>
      </w:r>
    </w:p>
    <w:p w14:paraId="4CDF1F50" w14:textId="77777777" w:rsidR="00AB27A8" w:rsidRDefault="00000000">
      <w:pPr>
        <w:pStyle w:val="FirstParagraph"/>
      </w:pPr>
      <w:r>
        <w:t xml:space="preserve">The first simulation aims to determine how well the methods perform to find coexpressed genes in the presence of a dominant between-group variance structure and increasing numbers of differential URP genes (genes with high between-group correlation but no within-group correlation). The expression levels of differential transcripts is modeled with the scores and loadings of the growth condition and its interaction with time; termed here the combined effect (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 The time effect is modeled with scores and loadings (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 Also included is some random measurement noise, this is modeled as a matrix </w:t>
      </w:r>
      <m:oMath>
        <m:r>
          <m:rPr>
            <m:sty m:val="b"/>
          </m:rPr>
          <w:rPr>
            <w:rFonts w:ascii="Cambria Math" w:hAnsi="Cambria Math"/>
          </w:rPr>
          <m:t>E</m:t>
        </m:r>
      </m:oMath>
      <w:r>
        <w:t xml:space="preserve"> with normally distributed random values </w:t>
      </w:r>
      <m:oMath>
        <m:sSub>
          <m:sSubPr>
            <m:ctrlPr>
              <w:rPr>
                <w:rFonts w:ascii="Cambria Math" w:hAnsi="Cambria Math"/>
              </w:rPr>
            </m:ctrlPr>
          </m:sSubPr>
          <m:e>
            <m:r>
              <w:rPr>
                <w:rFonts w:ascii="Cambria Math" w:hAnsi="Cambria Math"/>
              </w:rPr>
              <m:t>e</m:t>
            </m:r>
          </m:e>
          <m:sub>
            <m:r>
              <w:rPr>
                <w:rFonts w:ascii="Cambria Math" w:hAnsi="Cambria Math"/>
              </w:rPr>
              <m:t>ij</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26C12A63" w14:textId="77777777" w:rsidR="00AB27A8" w:rsidRDefault="00000000">
      <w:pPr>
        <w:pStyle w:val="BodyText"/>
      </w:pPr>
      <w:r>
        <w:lastRenderedPageBreak/>
        <w:t>On top of the between-group effect there is an additional correlation structure applied to the baits and spikes to create a model of coexpression that is independent to the variance induced by the experimental factors (</w:t>
      </w:r>
      <m:oMath>
        <m:sSub>
          <m:sSubPr>
            <m:ctrlPr>
              <w:rPr>
                <w:rFonts w:ascii="Cambria Math" w:hAnsi="Cambria Math"/>
              </w:rPr>
            </m:ctrlPr>
          </m:sSubPr>
          <m:e>
            <m:r>
              <m:rPr>
                <m:sty m:val="b"/>
              </m:rPr>
              <w:rPr>
                <w:rFonts w:ascii="Cambria Math" w:hAnsi="Cambria Math"/>
              </w:rPr>
              <m:t>X</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This </w:t>
      </w:r>
      <m:oMath>
        <m:sSub>
          <m:sSubPr>
            <m:ctrlPr>
              <w:rPr>
                <w:rFonts w:ascii="Cambria Math" w:hAnsi="Cambria Math"/>
              </w:rPr>
            </m:ctrlPr>
          </m:sSubPr>
          <m:e>
            <m:r>
              <m:rPr>
                <m:sty m:val="b"/>
              </m:rPr>
              <w:rPr>
                <w:rFonts w:ascii="Cambria Math" w:hAnsi="Cambria Math"/>
              </w:rPr>
              <m:t>X</m:t>
            </m:r>
          </m:e>
          <m:sub>
            <m:r>
              <w:rPr>
                <w:rFonts w:ascii="Cambria Math" w:hAnsi="Cambria Math"/>
              </w:rPr>
              <m:t>S</m:t>
            </m:r>
          </m:sub>
        </m:sSub>
      </m:oMath>
      <w:r>
        <w:t xml:space="preserve"> matrix contains two component sources of variation which links the baits and spikes. In this simulation we have a set of 4 baits that have positive loadings for the combined effect along with a variable number of other genes - “Combined Effect Responders”, which are the genes from a simulated URP (indicated by the yellow bar in Figure 5). For the structured ambient variance; 2 random vectors in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(each column representing an effect caused by ambient conditions) which our baits and spikes contribute to (i.e. green and black bars in Figure 5 are non zero in </w:t>
      </w:r>
      <m:oMath>
        <m:sSub>
          <m:sSubPr>
            <m:ctrlPr>
              <w:rPr>
                <w:rFonts w:ascii="Cambria Math" w:hAnsi="Cambria Math"/>
              </w:rPr>
            </m:ctrlPr>
          </m:sSubPr>
          <m:e>
            <m:r>
              <m:rPr>
                <m:sty m:val="b"/>
              </m:rPr>
              <w:rPr>
                <w:rFonts w:ascii="Cambria Math" w:hAnsi="Cambria Math"/>
              </w:rPr>
              <m:t>P</m:t>
            </m:r>
          </m:e>
          <m:sub>
            <m:r>
              <w:rPr>
                <w:rFonts w:ascii="Cambria Math" w:hAnsi="Cambria Math"/>
              </w:rPr>
              <m:t>S</m:t>
            </m:r>
          </m:sub>
        </m:sSub>
      </m:oMath>
      <w:r>
        <w:t xml:space="preserve">). Similarly to the real data, the gene expression values for each experimental condition are simulated with three independent replicates per time-condition-combination. Each simulated data </w:t>
      </w:r>
      <m:oMath>
        <m:r>
          <m:rPr>
            <m:sty m:val="b"/>
          </m:rPr>
          <w:rPr>
            <w:rFonts w:ascii="Cambria Math" w:hAnsi="Cambria Math"/>
          </w:rPr>
          <m:t>Y</m:t>
        </m:r>
      </m:oMath>
      <w:r>
        <w:t xml:space="preserve"> set thus consists of 24 samples and 2000 genes.</w:t>
      </w:r>
    </w:p>
    <w:p w14:paraId="5B83E823" w14:textId="77777777" w:rsidR="00AB27A8" w:rsidRDefault="00000000">
      <w:pPr>
        <w:pStyle w:val="BodyText"/>
      </w:pPr>
      <w:r>
        <w:t xml:space="preserve">The scores matrices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each consist of two orthogonal score vectors and their relative levels are indicated by the colour. The different colours in Figure 5 represent that the scores are orthogonal to each other. Each small block consists of the same score value for each of the replicates within that condition.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simulated to create the baits and spikes. As displayed in Figure 5, the green bar represents 4 baits (or known pathway genes), the black bar represents the 12 spikes (“unknown” genes from POI or RP), yellow represents differential URP genes, and purple; a set of differential URPs with an alternative treatment response.</w:t>
      </w:r>
    </w:p>
    <w:p w14:paraId="6E6D6E30" w14:textId="77777777" w:rsidR="00AB27A8" w:rsidRDefault="00000000">
      <w:pPr>
        <w:pStyle w:val="BodyText"/>
      </w:pPr>
      <w:r>
        <w:t xml:space="preserve">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β1</m:t>
            </m:r>
          </m:sub>
          <m:sup>
            <m:r>
              <w:rPr>
                <w:rFonts w:ascii="Cambria Math" w:hAnsi="Cambria Math"/>
              </w:rPr>
              <m:t>T</m:t>
            </m:r>
          </m:sup>
        </m:sSubSup>
      </m:oMath>
      <w:r>
        <w:t xml:space="preserve"> the baits, spikes and other DE genes (all genes from POI, RP and URP) along with the remaining first half have similar positive values (represented by light grey) where the other 1000 have positive values 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β2</m:t>
            </m:r>
          </m:sub>
          <m:sup>
            <m:r>
              <w:rPr>
                <w:rFonts w:ascii="Cambria Math" w:hAnsi="Cambria Math"/>
              </w:rPr>
              <m:t>T</m:t>
            </m:r>
          </m:sup>
        </m:sSubSup>
      </m:oMath>
      <w:r>
        <w:t xml:space="preserve"> (grey), these are created to emulate the reality of the real data in which many genes are slightly correlated with eachother through the course of development, as well as to account for some nonlinearities which are otherwise ignored by our model. The remaining elements of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populated with zeroes. The </w:t>
      </w:r>
      <m:oMath>
        <m:r>
          <m:rPr>
            <m:sty m:val="b"/>
          </m:rPr>
          <w:rPr>
            <w:rFonts w:ascii="Cambria Math" w:hAnsi="Cambria Math"/>
          </w:rPr>
          <m:t>T</m:t>
        </m:r>
      </m:oMath>
      <w:r>
        <w:t xml:space="preserve"> 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 </w:t>
      </w:r>
      <m:oMath>
        <m:r>
          <m:rPr>
            <m:sty m:val="b"/>
          </m:rPr>
          <w:rPr>
            <w:rFonts w:ascii="Cambria Math" w:hAnsi="Cambria Math"/>
          </w:rPr>
          <m:t>E</m:t>
        </m:r>
      </m:oMath>
      <w:r>
        <w:t xml:space="preserve"> represents random unstructured technical noise and the additional </w:t>
      </w:r>
      <m:oMath>
        <m:sSup>
          <m:sSupPr>
            <m:ctrlPr>
              <w:rPr>
                <w:rFonts w:ascii="Cambria Math" w:hAnsi="Cambria Math"/>
              </w:rPr>
            </m:ctrlPr>
          </m:sSupPr>
          <m:e>
            <m:r>
              <m:rPr>
                <m:sty m:val="b"/>
              </m:rPr>
              <w:rPr>
                <w:rFonts w:ascii="Cambria Math" w:hAnsi="Cambria Math"/>
              </w:rPr>
              <m:t>1μ</m:t>
            </m:r>
          </m:e>
          <m:sup>
            <m:r>
              <w:rPr>
                <w:rFonts w:ascii="Cambria Math" w:hAnsi="Cambria Math"/>
              </w:rPr>
              <m:t>T</m:t>
            </m:r>
          </m:sup>
        </m:sSup>
      </m:oMath>
      <w:r>
        <w:t xml:space="preserve"> term in (1) represents a mean value for each gene.</w:t>
      </w:r>
    </w:p>
    <w:p w14:paraId="772921B8" w14:textId="77777777" w:rsidR="00AB27A8" w:rsidRDefault="00000000">
      <w:pPr>
        <w:pStyle w:val="CaptionedFigure"/>
      </w:pPr>
      <w:r>
        <w:rPr>
          <w:noProof/>
        </w:rPr>
        <w:lastRenderedPageBreak/>
        <w:drawing>
          <wp:inline distT="0" distB="0" distL="0" distR="0" wp14:anchorId="5EC22032" wp14:editId="585A0D5B">
            <wp:extent cx="5334000" cy="1740713"/>
            <wp:effectExtent l="0" t="0" r="0" b="0"/>
            <wp:docPr id="41" name="Picture"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wp:cNvGraphicFramePr/>
            <a:graphic xmlns:a="http://schemas.openxmlformats.org/drawingml/2006/main">
              <a:graphicData uri="http://schemas.openxmlformats.org/drawingml/2006/picture">
                <pic:pic xmlns:pic="http://schemas.openxmlformats.org/drawingml/2006/picture">
                  <pic:nvPicPr>
                    <pic:cNvPr id="42" name="Picture" descr="Sim_SL_diagram_simplified.png"/>
                    <pic:cNvPicPr>
                      <a:picLocks noChangeAspect="1" noChangeArrowheads="1"/>
                    </pic:cNvPicPr>
                  </pic:nvPicPr>
                  <pic:blipFill>
                    <a:blip r:embed="rId12"/>
                    <a:stretch>
                      <a:fillRect/>
                    </a:stretch>
                  </pic:blipFill>
                  <pic:spPr bwMode="auto">
                    <a:xfrm>
                      <a:off x="0" y="0"/>
                      <a:ext cx="5334000" cy="1740713"/>
                    </a:xfrm>
                    <a:prstGeom prst="rect">
                      <a:avLst/>
                    </a:prstGeom>
                    <a:noFill/>
                    <a:ln w="9525">
                      <a:noFill/>
                      <a:headEnd/>
                      <a:tailEnd/>
                    </a:ln>
                  </pic:spPr>
                </pic:pic>
              </a:graphicData>
            </a:graphic>
          </wp:inline>
        </w:drawing>
      </w:r>
    </w:p>
    <w:p w14:paraId="7FFF7A77" w14:textId="77777777" w:rsidR="00AB27A8" w:rsidRDefault="00000000">
      <w:pPr>
        <w:pStyle w:val="ImageCaption"/>
      </w:pPr>
      <w:bookmarkStart w:id="10" w:name="fig:simOverview"/>
      <w:bookmarkEnd w:id="10"/>
      <w:r>
        <w:t>Figure 5: Coexpression simulation, simplified overview. Colours correspond to the same genes in the different loading vectors (</w:t>
      </w:r>
      <w:r>
        <w:rPr>
          <w:iCs/>
        </w:rPr>
        <w:t>P</w:t>
      </w:r>
      <w:r>
        <w:t>).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14:paraId="070A135B" w14:textId="77777777" w:rsidR="00AB27A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r>
              <m:e/>
              <m:e>
                <m:r>
                  <m:rPr>
                    <m:nor/>
                  </m:rPr>
                  <m:t>where for each element</m:t>
                </m:r>
              </m:e>
            </m:mr>
            <m:mr>
              <m:e/>
              <m:e>
                <m:sSub>
                  <m:sSubPr>
                    <m:ctrlPr>
                      <w:rPr>
                        <w:rFonts w:ascii="Cambria Math" w:hAnsi="Cambria Math"/>
                      </w:rPr>
                    </m:ctrlPr>
                  </m:sSubPr>
                  <m:e>
                    <m:r>
                      <m:rPr>
                        <m:sty m:val="b"/>
                      </m:rP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ik</m:t>
                        </m:r>
                      </m:sub>
                    </m:sSub>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 </m:t>
                </m:r>
                <m:sSubSup>
                  <m:sSubSupPr>
                    <m:ctrlPr>
                      <w:rPr>
                        <w:rFonts w:ascii="Cambria Math" w:hAnsi="Cambria Math"/>
                      </w:rPr>
                    </m:ctrlPr>
                  </m:sSubSupPr>
                  <m:e>
                    <m:r>
                      <m:rPr>
                        <m:sty m:val="b"/>
                      </m:rP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jk</m:t>
                        </m:r>
                      </m:sub>
                    </m:sSub>
                  </m:sub>
                  <m:sup>
                    <m:r>
                      <m:rPr>
                        <m:nor/>
                      </m:rPr>
                      <m:t>baits,spikes</m:t>
                    </m:r>
                  </m:sup>
                </m:sSubSup>
                <m:r>
                  <m:rPr>
                    <m:scr m:val="script"/>
                    <m:sty m:val="p"/>
                  </m:rP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0.2</m:t>
                    </m:r>
                  </m:e>
                </m:d>
              </m:e>
            </m:mr>
            <m:mr>
              <m:e>
                <m:r>
                  <m:rPr>
                    <m:nor/>
                  </m:rPr>
                  <m:t>and:</m:t>
                </m:r>
              </m:e>
              <m:e/>
            </m:mr>
            <m:mr>
              <m:e>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m:rPr>
                        <m:nor/>
                      </m:rPr>
                      <m:t>rest</m:t>
                    </m:r>
                  </m:sup>
                </m:sSubSup>
              </m:e>
              <m:e>
                <m:r>
                  <m:rPr>
                    <m:sty m:val="p"/>
                  </m:rPr>
                  <w:rPr>
                    <w:rFonts w:ascii="Cambria Math" w:hAnsi="Cambria Math"/>
                  </w:rPr>
                  <m:t>=</m:t>
                </m:r>
                <m:r>
                  <w:rPr>
                    <w:rFonts w:ascii="Cambria Math" w:hAnsi="Cambria Math"/>
                  </w:rPr>
                  <m:t>0</m:t>
                </m:r>
              </m:e>
            </m:mr>
          </m:m>
          <m:r>
            <w:rPr>
              <w:rFonts w:ascii="Cambria Math" w:hAnsi="Cambria Math"/>
            </w:rPr>
            <m:t>  </m:t>
          </m:r>
          <m:d>
            <m:dPr>
              <m:ctrlPr>
                <w:rPr>
                  <w:rFonts w:ascii="Cambria Math" w:hAnsi="Cambria Math"/>
                </w:rPr>
              </m:ctrlPr>
            </m:dPr>
            <m:e>
              <m:r>
                <w:rPr>
                  <w:rFonts w:ascii="Cambria Math" w:hAnsi="Cambria Math"/>
                </w:rPr>
                <m:t>1</m:t>
              </m:r>
            </m:e>
          </m:d>
        </m:oMath>
      </m:oMathPara>
    </w:p>
    <w:p w14:paraId="289541BB" w14:textId="77777777" w:rsidR="00AB27A8" w:rsidRDefault="00000000">
      <w:pPr>
        <w:pStyle w:val="FirstParagraph"/>
      </w:pPr>
      <w:r>
        <w:t xml:space="preserve">The issue to address is the presence of many differential URPs; those that have strong between group correlations but no within group correlation. Here these differential genes relate to the yellow bar in Figure 5. We incrementally increase the number of non-zero values and decrease the number of 0 values, which in figure 5 relates to increasing the size of the yellow bar, as well as varying the size (as quantified by the Frobenius norm) of the combined effect matrix through the scalar parameter </w:t>
      </w:r>
      <w:r>
        <w:rPr>
          <w:i/>
          <w:iCs/>
        </w:rPr>
        <w:t>d</w:t>
      </w:r>
      <w:r>
        <w:t xml:space="preserve"> below;</w:t>
      </w:r>
    </w:p>
    <w:p w14:paraId="01077B34" w14:textId="77777777" w:rsidR="00AB27A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2</m:t>
              </m:r>
            </m:e>
          </m:d>
        </m:oMath>
      </m:oMathPara>
    </w:p>
    <w:p w14:paraId="170E2C52" w14:textId="77777777" w:rsidR="00AB27A8" w:rsidRDefault="00000000">
      <w:pPr>
        <w:pStyle w:val="Heading2"/>
      </w:pPr>
      <w:bookmarkStart w:id="11" w:name="data-simulation-2-replication"/>
      <w:bookmarkEnd w:id="9"/>
      <w:r>
        <w:t>Data simulation 2: Replication</w:t>
      </w:r>
    </w:p>
    <w:p w14:paraId="15C702A3" w14:textId="77777777" w:rsidR="00AB27A8" w:rsidRDefault="00000000">
      <w:pPr>
        <w:pStyle w:val="FirstParagraph"/>
      </w:pPr>
      <w:r>
        <w:t>In order to evaluate the methods and indicate the levels of variance required for optimal performance we conduct a larger scale assay. Here we fix the number of DE URP genes to 30 which corresponds to the yellow bar size and the size of the within correlation effect matrix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We investigate a range of values for sizes of between variance (</w:t>
      </w:r>
      <w:r>
        <w:rPr>
          <w:i/>
          <w:iCs/>
        </w:rPr>
        <w:t>d</w:t>
      </w:r>
      <w:r>
        <w:t>) and random noise (</w:t>
      </w:r>
      <w:r>
        <w:rPr>
          <w:i/>
          <w:iCs/>
        </w:rPr>
        <w:t>l</w:t>
      </w:r>
      <w:r>
        <w:t xml:space="preserve">) across random structures (which correspond to repeated simulations of randomised values for all </w:t>
      </w:r>
      <m:oMath>
        <m:r>
          <m:rPr>
            <m:sty m:val="b"/>
          </m:rPr>
          <w:rPr>
            <w:rFonts w:ascii="Cambria Math" w:hAnsi="Cambria Math"/>
          </w:rPr>
          <m:t>T</m:t>
        </m:r>
      </m:oMath>
      <w:r>
        <w:t xml:space="preserve"> matrices). Parameters were adjusted according to (3) on 20 randomised </w:t>
      </w:r>
      <m:oMath>
        <m:r>
          <m:rPr>
            <m:sty m:val="b"/>
          </m:rPr>
          <w:rPr>
            <w:rFonts w:ascii="Cambria Math" w:hAnsi="Cambria Math"/>
          </w:rPr>
          <m:t>T</m:t>
        </m:r>
      </m:oMath>
      <w:r>
        <w:t xml:space="preserve"> matrices.</w:t>
      </w:r>
    </w:p>
    <w:p w14:paraId="0EBCD2B7" w14:textId="77777777" w:rsidR="00AB27A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w:rPr>
                    <w:rFonts w:ascii="Cambria Math" w:hAnsi="Cambria Math"/>
                  </w:rPr>
                  <m:t>l</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p>
    <w:p w14:paraId="7CEC67BE" w14:textId="77777777" w:rsidR="00AB27A8" w:rsidRDefault="00000000">
      <w:pPr>
        <w:pStyle w:val="FirstParagraph"/>
      </w:pPr>
      <w:r>
        <w:t xml:space="preserve">On these 20 datasets, per condition, the replicate number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was also varied: the number of replicates </w:t>
      </w:r>
      <m:oMath>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per experimental condition were sampled from a maximum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of 15.</w:t>
      </w:r>
    </w:p>
    <w:p w14:paraId="1454E17E" w14:textId="77777777" w:rsidR="00AB27A8" w:rsidRDefault="00000000">
      <w:pPr>
        <w:pStyle w:val="Heading2"/>
      </w:pPr>
      <w:bookmarkStart w:id="12" w:name="selection-of-genes-of-interest"/>
      <w:bookmarkEnd w:id="11"/>
      <w:r>
        <w:lastRenderedPageBreak/>
        <w:t>Selection of genes of interest</w:t>
      </w:r>
    </w:p>
    <w:p w14:paraId="175B6B94" w14:textId="77777777" w:rsidR="00AB27A8" w:rsidRDefault="00000000">
      <w:pPr>
        <w:pStyle w:val="Heading3"/>
      </w:pPr>
      <w:bookmarkStart w:id="13" w:name="ranked-correlations"/>
      <w:r>
        <w:t>Ranked correlations</w:t>
      </w:r>
    </w:p>
    <w:p w14:paraId="293AC736" w14:textId="77777777" w:rsidR="00AB27A8" w:rsidRDefault="00000000">
      <w:pPr>
        <w:pStyle w:val="FirstParagraph"/>
      </w:pPr>
      <w:r>
        <w:t xml:space="preserve">Pearson’s correlation coefficient </w:t>
      </w:r>
      <w:r>
        <w:rPr>
          <w:i/>
          <w:iCs/>
        </w:rPr>
        <w:t>r</w:t>
      </w:r>
      <w:r>
        <w:t xml:space="preserve"> is calculated between all columns of </w:t>
      </w:r>
      <m:oMath>
        <m:r>
          <m:rPr>
            <m:sty m:val="b"/>
          </m:rPr>
          <w:rPr>
            <w:rFonts w:ascii="Cambria Math" w:hAnsi="Cambria Math"/>
          </w:rPr>
          <m:t>Y</m:t>
        </m:r>
      </m:oMath>
      <w:r>
        <w:t xml:space="preserve">. Ranks are assigned to all non-bait transcripts for each bait based on </w:t>
      </w:r>
      <w:r>
        <w:rPr>
          <w:i/>
          <w:iCs/>
        </w:rPr>
        <w:t>r</w:t>
      </w:r>
      <w:r>
        <w:t>, with the lowest rank for the highest correlation. These ranks are averaged across all baits (see supplementary equation (15)).</w:t>
      </w:r>
    </w:p>
    <w:p w14:paraId="4EF9302B" w14:textId="77777777" w:rsidR="00AB27A8" w:rsidRDefault="00000000">
      <w:pPr>
        <w:pStyle w:val="Heading3"/>
      </w:pPr>
      <w:bookmarkStart w:id="14" w:name="asca"/>
      <w:bookmarkEnd w:id="13"/>
      <w:r>
        <w:t>ASCA+</w:t>
      </w:r>
    </w:p>
    <w:p w14:paraId="48B9BB63" w14:textId="77777777" w:rsidR="00AB27A8" w:rsidRDefault="00000000">
      <w:pPr>
        <w:pStyle w:val="FirstParagraph"/>
      </w:pPr>
      <w:r>
        <w:t>ANOVA simultaneous component analysis ((</w:t>
      </w:r>
      <w:hyperlink w:anchor="Xaca7e11f7e5f0a0465524ca94b5740f80e57dcd">
        <w:r>
          <w:rPr>
            <w:rStyle w:val="Hyperlink"/>
          </w:rPr>
          <w:t>11</w:t>
        </w:r>
      </w:hyperlink>
      <w:r>
        <w:t>)) involves splitting data into effect matrices which are defined by the experimental design structure, after which a PCA is applied to the effect matrices or combination thereof. In ASCA+ this variance partitioning is achieved through the generalised linear model as described in (</w:t>
      </w:r>
      <w:hyperlink w:anchor="ref-thielASCAAPCAExtensions2017">
        <w:r>
          <w:rPr>
            <w:rStyle w:val="Hyperlink"/>
          </w:rPr>
          <w:t>12</w:t>
        </w:r>
      </w:hyperlink>
      <w:r>
        <w:t>). ASCA+ addresses the issue of biased effects matrices in unbalanced designs. The following is a summary of the algorithm description provided in (</w:t>
      </w:r>
      <w:hyperlink w:anchor="ref-thielASCAAPCAExtensions2017">
        <w:r>
          <w:rPr>
            <w:rStyle w:val="Hyperlink"/>
          </w:rPr>
          <w:t>12</w:t>
        </w:r>
      </w:hyperlink>
      <w:r>
        <w:t>).</w:t>
      </w:r>
    </w:p>
    <w:p w14:paraId="18568FAC" w14:textId="77777777" w:rsidR="00AB27A8" w:rsidRDefault="00000000">
      <w:pPr>
        <w:pStyle w:val="BodyText"/>
      </w:pPr>
      <w:r>
        <w:t>The multivariate generalised linear model (GLM) can be expressed as:</w:t>
      </w:r>
    </w:p>
    <w:p w14:paraId="4BD270A2"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r>
                  <m:rPr>
                    <m:sty m:val="b"/>
                  </m:rPr>
                  <w:rPr>
                    <w:rFonts w:ascii="Cambria Math" w:hAnsi="Cambria Math"/>
                  </w:rPr>
                  <m:t>XΘ</m:t>
                </m:r>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4</m:t>
              </m:r>
            </m:e>
          </m:d>
        </m:oMath>
      </m:oMathPara>
    </w:p>
    <w:p w14:paraId="6337C4B3" w14:textId="77777777" w:rsidR="00AB27A8" w:rsidRDefault="00000000">
      <w:pPr>
        <w:pStyle w:val="FirstParagraph"/>
      </w:pPr>
      <w:r>
        <w:t xml:space="preserve">where </w:t>
      </w:r>
      <m:oMath>
        <m:r>
          <m:rPr>
            <m:sty m:val="b"/>
          </m:rPr>
          <w:rPr>
            <w:rFonts w:ascii="Cambria Math" w:hAnsi="Cambria Math"/>
          </w:rPr>
          <m:t>Y</m:t>
        </m:r>
      </m:oMath>
      <w:r>
        <w:t xml:space="preserve"> is the response matrix of dimension </w:t>
      </w:r>
      <m:oMath>
        <m:r>
          <w:rPr>
            <w:rFonts w:ascii="Cambria Math" w:hAnsi="Cambria Math"/>
          </w:rPr>
          <m:t>I</m:t>
        </m:r>
        <m:r>
          <m:rPr>
            <m:sty m:val="p"/>
          </m:rPr>
          <w:rPr>
            <w:rFonts w:ascii="Cambria Math" w:hAnsi="Cambria Math"/>
          </w:rPr>
          <m:t>×</m:t>
        </m:r>
        <m:r>
          <w:rPr>
            <w:rFonts w:ascii="Cambria Math" w:hAnsi="Cambria Math"/>
          </w:rPr>
          <m:t>J</m:t>
        </m:r>
      </m:oMath>
      <w:r>
        <w:t xml:space="preserve">, </w:t>
      </w:r>
      <m:oMath>
        <m:r>
          <m:rPr>
            <m:sty m:val="b"/>
          </m:rPr>
          <w:rPr>
            <w:rFonts w:ascii="Cambria Math" w:hAnsi="Cambria Math"/>
          </w:rPr>
          <m:t>X</m:t>
        </m:r>
      </m:oMath>
      <w:r>
        <w:t xml:space="preserve"> is the model matrix of dimension </w:t>
      </w:r>
      <m:oMath>
        <m:r>
          <w:rPr>
            <w:rFonts w:ascii="Cambria Math" w:hAnsi="Cambria Math"/>
          </w:rPr>
          <m:t>I</m:t>
        </m:r>
        <m:r>
          <m:rPr>
            <m:sty m:val="p"/>
          </m:rPr>
          <w:rPr>
            <w:rFonts w:ascii="Cambria Math" w:hAnsi="Cambria Math"/>
          </w:rPr>
          <m:t>×</m:t>
        </m:r>
        <m:r>
          <w:rPr>
            <w:rFonts w:ascii="Cambria Math" w:hAnsi="Cambria Math"/>
          </w:rPr>
          <m:t>p</m:t>
        </m:r>
      </m:oMath>
      <w:r>
        <w:t xml:space="preserve">, containing the coded indicator levels for each of the levels for each factor and their interactions, </w:t>
      </w:r>
      <m:oMath>
        <m:r>
          <m:rPr>
            <m:sty m:val="b"/>
          </m:rPr>
          <w:rPr>
            <w:rFonts w:ascii="Cambria Math" w:hAnsi="Cambria Math"/>
          </w:rPr>
          <m:t>Θ</m:t>
        </m:r>
      </m:oMath>
      <w:r>
        <w:t xml:space="preserve"> is the parameter matrix of dimension </w:t>
      </w:r>
      <m:oMath>
        <m:r>
          <w:rPr>
            <w:rFonts w:ascii="Cambria Math" w:hAnsi="Cambria Math"/>
          </w:rPr>
          <m:t>p</m:t>
        </m:r>
        <m:r>
          <m:rPr>
            <m:sty m:val="p"/>
          </m:rPr>
          <w:rPr>
            <w:rFonts w:ascii="Cambria Math" w:hAnsi="Cambria Math"/>
          </w:rPr>
          <m:t>×</m:t>
        </m:r>
        <m:r>
          <w:rPr>
            <w:rFonts w:ascii="Cambria Math" w:hAnsi="Cambria Math"/>
          </w:rPr>
          <m:t>J</m:t>
        </m:r>
      </m:oMath>
      <w:r>
        <w:t xml:space="preserve"> and </w:t>
      </w:r>
      <m:oMath>
        <m:r>
          <m:rPr>
            <m:sty m:val="b"/>
          </m:rPr>
          <w:rPr>
            <w:rFonts w:ascii="Cambria Math" w:hAnsi="Cambria Math"/>
          </w:rPr>
          <m:t>E</m:t>
        </m:r>
      </m:oMath>
      <w:r>
        <w:t xml:space="preserve"> is the error matrix of dimension </w:t>
      </w:r>
      <m:oMath>
        <m:r>
          <w:rPr>
            <w:rFonts w:ascii="Cambria Math" w:hAnsi="Cambria Math"/>
          </w:rPr>
          <m:t>I</m:t>
        </m:r>
        <m:r>
          <m:rPr>
            <m:sty m:val="p"/>
          </m:rPr>
          <w:rPr>
            <w:rFonts w:ascii="Cambria Math" w:hAnsi="Cambria Math"/>
          </w:rPr>
          <m:t>×</m:t>
        </m:r>
        <m:r>
          <w:rPr>
            <w:rFonts w:ascii="Cambria Math" w:hAnsi="Cambria Math"/>
          </w:rPr>
          <m:t>J</m:t>
        </m:r>
      </m:oMath>
      <w:r>
        <w:t>.</w:t>
      </w:r>
    </w:p>
    <w:p w14:paraId="6D81FCAA" w14:textId="77777777" w:rsidR="00AB27A8" w:rsidRDefault="00000000">
      <w:pPr>
        <w:pStyle w:val="BodyText"/>
      </w:pPr>
      <w:r>
        <w:t>Through Ordinary Least Squares (OLS) we can obtain the (unbiased) estimators of the model parameters:</w:t>
      </w:r>
    </w:p>
    <w:p w14:paraId="2EC6E657"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e>
            </m:mr>
          </m:m>
          <m:r>
            <w:rPr>
              <w:rFonts w:ascii="Cambria Math" w:hAnsi="Cambria Math"/>
            </w:rPr>
            <m:t>  </m:t>
          </m:r>
          <m:d>
            <m:dPr>
              <m:ctrlPr>
                <w:rPr>
                  <w:rFonts w:ascii="Cambria Math" w:hAnsi="Cambria Math"/>
                </w:rPr>
              </m:ctrlPr>
            </m:dPr>
            <m:e>
              <m:r>
                <w:rPr>
                  <w:rFonts w:ascii="Cambria Math" w:hAnsi="Cambria Math"/>
                </w:rPr>
                <m:t>5</m:t>
              </m:r>
            </m:e>
          </m:d>
        </m:oMath>
      </m:oMathPara>
    </w:p>
    <w:p w14:paraId="1F7F76B1" w14:textId="77777777" w:rsidR="00AB27A8" w:rsidRDefault="00000000">
      <w:pPr>
        <w:pStyle w:val="FirstParagraph"/>
      </w:pPr>
      <w:r>
        <w:t>The effect matrices for different terms of the model can be obtained as:</w:t>
      </w:r>
    </w:p>
    <w:p w14:paraId="77F92B08"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6</m:t>
              </m:r>
            </m:e>
          </m:d>
        </m:oMath>
      </m:oMathPara>
    </w:p>
    <w:p w14:paraId="2CF4BDBB" w14:textId="77777777" w:rsidR="00AB27A8"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M</m:t>
            </m:r>
          </m:e>
          <m:sub>
            <m:r>
              <w:rPr>
                <w:rFonts w:ascii="Cambria Math" w:hAnsi="Cambria Math"/>
              </w:rPr>
              <m:t>f</m:t>
            </m:r>
          </m:sub>
        </m:sSub>
      </m:oMath>
      <w:r>
        <w:t xml:space="preserve"> is the effect matrix corresponding to effect </w:t>
      </w:r>
      <m:oMath>
        <m:r>
          <w:rPr>
            <w:rFonts w:ascii="Cambria Math" w:hAnsi="Cambria Math"/>
          </w:rPr>
          <m:t>f</m:t>
        </m:r>
      </m:oMath>
      <w:r>
        <w:t xml:space="preserve">, </w:t>
      </w:r>
      <m:oMath>
        <m:acc>
          <m:accPr>
            <m:ctrlPr>
              <w:rPr>
                <w:rFonts w:ascii="Cambria Math" w:hAnsi="Cambria Math"/>
              </w:rPr>
            </m:ctrlPr>
          </m:accPr>
          <m:e>
            <m:r>
              <m:rPr>
                <m:sty m:val="b"/>
              </m:rPr>
              <w:rPr>
                <w:rFonts w:ascii="Cambria Math" w:hAnsi="Cambria Math"/>
              </w:rPr>
              <m:t>Θ</m:t>
            </m:r>
          </m:e>
        </m:acc>
      </m:oMath>
      <w:r>
        <w:t xml:space="preserve"> is the matrix of estimated parameters obtained from OLS and </w:t>
      </w:r>
      <m:oMath>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oMath>
      <w:r>
        <w:t xml:space="preserve"> is a new model matrix obtained by keeping in </w:t>
      </w:r>
      <m:oMath>
        <m:r>
          <m:rPr>
            <m:sty m:val="b"/>
          </m:rPr>
          <w:rPr>
            <w:rFonts w:ascii="Cambria Math" w:hAnsi="Cambria Math"/>
          </w:rPr>
          <m:t>X</m:t>
        </m:r>
      </m:oMath>
      <w:r>
        <w:t xml:space="preserve"> only the block </w:t>
      </w:r>
      <m:oMath>
        <m:sSub>
          <m:sSubPr>
            <m:ctrlPr>
              <w:rPr>
                <w:rFonts w:ascii="Cambria Math" w:hAnsi="Cambria Math"/>
              </w:rPr>
            </m:ctrlPr>
          </m:sSubPr>
          <m:e>
            <m:r>
              <m:rPr>
                <m:sty m:val="b"/>
              </m:rPr>
              <w:rPr>
                <w:rFonts w:ascii="Cambria Math" w:hAnsi="Cambria Math"/>
              </w:rPr>
              <m:t>X</m:t>
            </m:r>
          </m:e>
          <m:sub>
            <m:r>
              <w:rPr>
                <w:rFonts w:ascii="Cambria Math" w:hAnsi="Cambria Math"/>
              </w:rPr>
              <m:t>f</m:t>
            </m:r>
          </m:sub>
        </m:sSub>
      </m:oMath>
      <w:r>
        <w:t xml:space="preserve"> and replacing all other columns with zeros as per:</w:t>
      </w:r>
    </w:p>
    <w:p w14:paraId="441F7118"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f</m:t>
                            </m:r>
                          </m:sub>
                        </m:sSub>
                      </m:e>
                    </m:d>
                    <m:r>
                      <w:rPr>
                        <w:rFonts w:ascii="Cambria Math" w:hAnsi="Cambria Math"/>
                      </w:rPr>
                      <m:t>0</m:t>
                    </m:r>
                  </m:e>
                </m:d>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f</m:t>
                    </m:r>
                  </m:sub>
                </m:sSub>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mr>
          </m:m>
          <m:r>
            <w:rPr>
              <w:rFonts w:ascii="Cambria Math" w:hAnsi="Cambria Math"/>
            </w:rPr>
            <m:t>  </m:t>
          </m:r>
          <m:d>
            <m:dPr>
              <m:ctrlPr>
                <w:rPr>
                  <w:rFonts w:ascii="Cambria Math" w:hAnsi="Cambria Math"/>
                </w:rPr>
              </m:ctrlPr>
            </m:dPr>
            <m:e>
              <m:r>
                <w:rPr>
                  <w:rFonts w:ascii="Cambria Math" w:hAnsi="Cambria Math"/>
                </w:rPr>
                <m:t>7</m:t>
              </m:r>
            </m:e>
          </m:d>
        </m:oMath>
      </m:oMathPara>
    </w:p>
    <w:p w14:paraId="05428E79" w14:textId="77777777" w:rsidR="00AB27A8" w:rsidRDefault="00000000">
      <w:pPr>
        <w:pStyle w:val="FirstParagraph"/>
      </w:pPr>
      <w:r>
        <w:t>The above is achieved through the sum coded indicator matrix as illustrated further in (</w:t>
      </w:r>
      <w:hyperlink w:anchor="ref-thielASCAAPCAExtensions2017">
        <w:r>
          <w:rPr>
            <w:rStyle w:val="Hyperlink"/>
          </w:rPr>
          <w:t>12</w:t>
        </w:r>
      </w:hyperlink>
      <w:r>
        <w:t>).</w:t>
      </w:r>
    </w:p>
    <w:p w14:paraId="656068E2" w14:textId="77777777" w:rsidR="00AB27A8" w:rsidRDefault="00000000">
      <w:pPr>
        <w:pStyle w:val="BodyText"/>
      </w:pPr>
      <w:r>
        <w:t xml:space="preserve">Furthermore, the matrix </w:t>
      </w:r>
      <m:oMath>
        <m:r>
          <m:rPr>
            <m:sty m:val="b"/>
          </m:rPr>
          <w:rPr>
            <w:rFonts w:ascii="Cambria Math" w:hAnsi="Cambria Math"/>
          </w:rPr>
          <m:t>E</m:t>
        </m:r>
      </m:oMath>
      <w:r>
        <w:t xml:space="preserve"> is estimated as the residual matrix of the model:</w:t>
      </w:r>
    </w:p>
    <w:p w14:paraId="3EA49765"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E</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8</m:t>
              </m:r>
            </m:e>
          </m:d>
        </m:oMath>
      </m:oMathPara>
    </w:p>
    <w:p w14:paraId="4B50C9BE" w14:textId="77777777" w:rsidR="00AB27A8" w:rsidRDefault="00000000">
      <w:pPr>
        <w:pStyle w:val="FirstParagraph"/>
      </w:pPr>
      <w:r>
        <w:t>Throughout this text when referring to the calculation of ASCA/ASCA+ model on simulated or real data the following model is calculated:</w:t>
      </w:r>
    </w:p>
    <w:p w14:paraId="755865DF"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9</m:t>
              </m:r>
            </m:e>
          </m:d>
        </m:oMath>
      </m:oMathPara>
    </w:p>
    <w:p w14:paraId="5B4912C6" w14:textId="77777777" w:rsidR="00AB27A8" w:rsidRDefault="00000000">
      <w:pPr>
        <w:pStyle w:val="FirstParagraph"/>
      </w:pPr>
      <w:r>
        <w:t>With genes selected from:</w:t>
      </w:r>
    </w:p>
    <w:p w14:paraId="1D620C06" w14:textId="77777777" w:rsidR="00AB27A8"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
                  <m:mcPr>
                    <m:count m:val="1"/>
                    <m:mcJc m:val="left"/>
                  </m:mcPr>
                </m:mc>
              </m:mcs>
              <m:ctrlPr>
                <w:rPr>
                  <w:rFonts w:ascii="Cambria Math" w:hAnsi="Cambria Math"/>
                </w:rPr>
              </m:ctrlPr>
            </m:mPr>
            <m:m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e>
              <m:e>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αβ</m:t>
                    </m:r>
                  </m:sub>
                  <m:sup>
                    <m:r>
                      <w:rPr>
                        <w:rFonts w:ascii="Cambria Math" w:hAnsi="Cambria Math"/>
                      </w:rPr>
                      <m:t>T</m:t>
                    </m:r>
                  </m:sup>
                </m:sSubSup>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mr>
          </m:m>
          <m:r>
            <w:rPr>
              <w:rFonts w:ascii="Cambria Math" w:hAnsi="Cambria Math"/>
            </w:rPr>
            <m:t>  </m:t>
          </m:r>
          <m:d>
            <m:dPr>
              <m:ctrlPr>
                <w:rPr>
                  <w:rFonts w:ascii="Cambria Math" w:hAnsi="Cambria Math"/>
                </w:rPr>
              </m:ctrlPr>
            </m:dPr>
            <m:e>
              <m:r>
                <w:rPr>
                  <w:rFonts w:ascii="Cambria Math" w:hAnsi="Cambria Math"/>
                </w:rPr>
                <m:t>10</m:t>
              </m:r>
            </m:e>
          </m:d>
        </m:oMath>
      </m:oMathPara>
    </w:p>
    <w:p w14:paraId="557410B4" w14:textId="77777777" w:rsidR="00AB27A8" w:rsidRDefault="00000000">
      <w:pPr>
        <w:pStyle w:val="Heading3"/>
      </w:pPr>
      <w:bookmarkStart w:id="15" w:name="pls-regression"/>
      <w:bookmarkEnd w:id="14"/>
      <w:r>
        <w:t>PLS regression</w:t>
      </w:r>
    </w:p>
    <w:p w14:paraId="60B1B104" w14:textId="77777777" w:rsidR="00AB27A8" w:rsidRDefault="00000000">
      <w:pPr>
        <w:pStyle w:val="FirstParagraph"/>
      </w:pPr>
      <w:r>
        <w:t xml:space="preserve">Partial Least Squares (PLS2) is a multivariate regression technique used for modeling relationships between two sets of variables. Here we split our data matrix </w:t>
      </w:r>
      <m:oMath>
        <m:r>
          <m:rPr>
            <m:sty m:val="b"/>
          </m:rPr>
          <w:rPr>
            <w:rFonts w:ascii="Cambria Math" w:hAnsi="Cambria Math"/>
          </w:rPr>
          <m:t>Y</m:t>
        </m:r>
      </m:oMath>
      <w:r>
        <w:t xml:space="preserve"> into sub-matrices;</w:t>
      </w:r>
    </w:p>
    <w:p w14:paraId="1BE0C850"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B</m:t>
                    </m:r>
                  </m:e>
                </m:d>
              </m:e>
            </m:mr>
          </m:m>
          <m:r>
            <w:rPr>
              <w:rFonts w:ascii="Cambria Math" w:hAnsi="Cambria Math"/>
            </w:rPr>
            <m:t>  </m:t>
          </m:r>
          <m:d>
            <m:dPr>
              <m:ctrlPr>
                <w:rPr>
                  <w:rFonts w:ascii="Cambria Math" w:hAnsi="Cambria Math"/>
                </w:rPr>
              </m:ctrlPr>
            </m:dPr>
            <m:e>
              <m:r>
                <w:rPr>
                  <w:rFonts w:ascii="Cambria Math" w:hAnsi="Cambria Math"/>
                </w:rPr>
                <m:t>11</m:t>
              </m:r>
            </m:e>
          </m:d>
        </m:oMath>
      </m:oMathPara>
    </w:p>
    <w:p w14:paraId="19716115" w14:textId="77777777" w:rsidR="00AB27A8" w:rsidRDefault="00000000">
      <w:pPr>
        <w:pStyle w:val="FirstParagraph"/>
      </w:pPr>
      <w:r>
        <w:t xml:space="preserve">The response matrix </w:t>
      </w:r>
      <m:oMath>
        <m:r>
          <m:rPr>
            <m:sty m:val="b"/>
          </m:rPr>
          <w:rPr>
            <w:rFonts w:ascii="Cambria Math" w:hAnsi="Cambria Math"/>
          </w:rPr>
          <m:t>B</m:t>
        </m:r>
      </m:oMath>
      <w:r>
        <w:t xml:space="preserve"> contains only the baits (relating to the green bar in the loadings of Figure 5) and the predictor matrix </w:t>
      </w:r>
      <m:oMath>
        <m:acc>
          <m:accPr>
            <m:chr m:val="̃"/>
            <m:ctrlPr>
              <w:rPr>
                <w:rFonts w:ascii="Cambria Math" w:hAnsi="Cambria Math"/>
              </w:rPr>
            </m:ctrlPr>
          </m:accPr>
          <m:e>
            <m:r>
              <m:rPr>
                <m:sty m:val="b"/>
              </m:rPr>
              <w:rPr>
                <w:rFonts w:ascii="Cambria Math" w:hAnsi="Cambria Math"/>
              </w:rPr>
              <m:t>Y</m:t>
            </m:r>
          </m:e>
        </m:acc>
      </m:oMath>
      <w:r>
        <w:t xml:space="preserve"> contains the rest of the data, this can then be expressed as:</w:t>
      </w:r>
    </w:p>
    <w:p w14:paraId="2DA62910"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acc>
                      <m:accPr>
                        <m:chr m:val="̃"/>
                        <m:ctrlPr>
                          <w:rPr>
                            <w:rFonts w:ascii="Cambria Math" w:hAnsi="Cambria Math"/>
                          </w:rPr>
                        </m:ctrlPr>
                      </m:accPr>
                      <m:e>
                        <m:r>
                          <w:rPr>
                            <w:rFonts w:ascii="Cambria Math" w:hAnsi="Cambria Math"/>
                          </w:rPr>
                          <m:t>Y</m:t>
                        </m:r>
                      </m:e>
                    </m:acc>
                  </m:sub>
                </m:sSub>
              </m:e>
            </m:mr>
            <m:mr>
              <m:e>
                <m:r>
                  <m:rPr>
                    <m:nor/>
                  </m:rPr>
                  <m:t>and</m:t>
                </m:r>
              </m:e>
            </m:mr>
            <m:mr>
              <m:e>
                <m:r>
                  <m:rPr>
                    <m:sty m:val="b"/>
                  </m:rPr>
                  <w:rPr>
                    <w:rFonts w:ascii="Cambria Math" w:hAnsi="Cambria Math"/>
                  </w:rPr>
                  <m:t>B</m:t>
                </m:r>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Q</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B</m:t>
                    </m:r>
                  </m:sub>
                </m:sSub>
              </m:e>
            </m:mr>
          </m:m>
          <m:r>
            <w:rPr>
              <w:rFonts w:ascii="Cambria Math" w:hAnsi="Cambria Math"/>
            </w:rPr>
            <m:t>  </m:t>
          </m:r>
          <m:d>
            <m:dPr>
              <m:ctrlPr>
                <w:rPr>
                  <w:rFonts w:ascii="Cambria Math" w:hAnsi="Cambria Math"/>
                </w:rPr>
              </m:ctrlPr>
            </m:dPr>
            <m:e>
              <m:r>
                <w:rPr>
                  <w:rFonts w:ascii="Cambria Math" w:hAnsi="Cambria Math"/>
                </w:rPr>
                <m:t>12</m:t>
              </m:r>
            </m:e>
          </m:d>
        </m:oMath>
      </m:oMathPara>
    </w:p>
    <w:p w14:paraId="5A821AC2" w14:textId="77777777" w:rsidR="00AB27A8" w:rsidRDefault="00000000">
      <w:pPr>
        <w:pStyle w:val="FirstParagraph"/>
      </w:pPr>
      <w:r>
        <w:t>This model is estimated in our work using the SIMPLS algorithm ((</w:t>
      </w:r>
      <w:hyperlink w:anchor="ref-dejongSIMPLSAlternativeApproach1993">
        <w:r>
          <w:rPr>
            <w:rStyle w:val="Hyperlink"/>
          </w:rPr>
          <w:t>20</w:t>
        </w:r>
      </w:hyperlink>
      <w:r>
        <w:t>)) as follows:</w:t>
      </w:r>
    </w:p>
    <w:p w14:paraId="4C497D69" w14:textId="77777777" w:rsidR="00AB27A8" w:rsidRDefault="00000000">
      <w:pPr>
        <w:pStyle w:val="Compact"/>
        <w:numPr>
          <w:ilvl w:val="0"/>
          <w:numId w:val="2"/>
        </w:numPr>
      </w:pPr>
      <w:r>
        <w:t xml:space="preserve">Initialize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0</m:t>
            </m:r>
          </m:sub>
        </m:sSub>
      </m:oMath>
      <w:r>
        <w:t xml:space="preserve"> to </w:t>
      </w:r>
      <m:oMath>
        <m:acc>
          <m:accPr>
            <m:chr m:val="̃"/>
            <m:ctrlPr>
              <w:rPr>
                <w:rFonts w:ascii="Cambria Math" w:hAnsi="Cambria Math"/>
              </w:rPr>
            </m:ctrlPr>
          </m:accPr>
          <m:e>
            <m:r>
              <m:rPr>
                <m:sty m:val="b"/>
              </m:rPr>
              <w:rPr>
                <w:rFonts w:ascii="Cambria Math" w:hAnsi="Cambria Math"/>
              </w:rPr>
              <m:t>Y</m:t>
            </m:r>
          </m:e>
        </m:acc>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0</m:t>
            </m:r>
          </m:sub>
        </m:sSub>
      </m:oMath>
      <w:r>
        <w:t xml:space="preserve"> to </w:t>
      </w:r>
      <m:oMath>
        <m:r>
          <m:rPr>
            <m:sty m:val="b"/>
          </m:rPr>
          <w:rPr>
            <w:rFonts w:ascii="Cambria Math" w:hAnsi="Cambria Math"/>
          </w:rPr>
          <m:t>B</m:t>
        </m:r>
      </m:oMath>
      <w:r>
        <w:t>.</w:t>
      </w:r>
    </w:p>
    <w:p w14:paraId="3A5D056E" w14:textId="77777777" w:rsidR="00AB27A8" w:rsidRDefault="00000000">
      <w:pPr>
        <w:pStyle w:val="Compact"/>
        <w:numPr>
          <w:ilvl w:val="0"/>
          <w:numId w:val="2"/>
        </w:numPr>
      </w:pPr>
      <w:r>
        <w:t xml:space="preserve">Iteratively perform the following steps 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w:t>
      </w:r>
    </w:p>
    <w:p w14:paraId="1DA61019" w14:textId="77777777" w:rsidR="00AB27A8" w:rsidRDefault="00000000">
      <w:pPr>
        <w:pStyle w:val="Compact"/>
        <w:numPr>
          <w:ilvl w:val="1"/>
          <w:numId w:val="3"/>
        </w:numPr>
      </w:pPr>
      <w:r>
        <w:t xml:space="preserve">Compute the singular value decomposition (SVD) of </w:t>
      </w:r>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r>
        <w:t xml:space="preserve"> to obtain the left and right singular vectors; weights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 xml:space="preserve"> respectively.</w:t>
      </w:r>
    </w:p>
    <w:p w14:paraId="06C45F56" w14:textId="77777777" w:rsidR="00AB27A8" w:rsidRDefault="00000000">
      <w:pPr>
        <w:pStyle w:val="Compact"/>
        <w:numPr>
          <w:ilvl w:val="1"/>
          <w:numId w:val="3"/>
        </w:numPr>
      </w:pPr>
      <w:r>
        <w:t xml:space="preserve">Project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r>
        <w:t xml:space="preserve"> onto the first left and right singular vectors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w:t>
      </w:r>
      <m:oMath>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 xml:space="preserve">) to obtain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Sub>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k</m:t>
            </m:r>
          </m:sub>
        </m:sSub>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w:t>
      </w:r>
    </w:p>
    <w:p w14:paraId="368A07F6" w14:textId="77777777" w:rsidR="00AB27A8" w:rsidRDefault="00000000">
      <w:pPr>
        <w:pStyle w:val="FirstParagraph"/>
      </w:pPr>
      <w:r>
        <w:t xml:space="preserve">Under the conditions of orthogonal scores; </w:t>
      </w:r>
      <m:oMath>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normalised weights; </w:t>
      </w:r>
      <m:oMath>
        <m:sSubSup>
          <m:sSubSupPr>
            <m:ctrlPr>
              <w:rPr>
                <w:rFonts w:ascii="Cambria Math" w:hAnsi="Cambria Math"/>
              </w:rPr>
            </m:ctrlPr>
          </m:sSubSupPr>
          <m:e>
            <m:r>
              <m:rPr>
                <m:sty m:val="b"/>
              </m:rP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w:rPr>
            <w:rFonts w:ascii="Cambria Math" w:hAnsi="Cambria Math"/>
          </w:rPr>
          <m:t>1</m:t>
        </m:r>
      </m:oMath>
      <w:r>
        <w:t xml:space="preserve"> and </w:t>
      </w:r>
      <m:oMath>
        <m:sSubSup>
          <m:sSubSupPr>
            <m:ctrlPr>
              <w:rPr>
                <w:rFonts w:ascii="Cambria Math" w:hAnsi="Cambria Math"/>
              </w:rPr>
            </m:ctrlPr>
          </m:sSubSupPr>
          <m:e>
            <m:r>
              <m:rPr>
                <m:sty m:val="b"/>
              </m:rPr>
              <w:rPr>
                <w:rFonts w:ascii="Cambria Math" w:hAnsi="Cambria Math"/>
              </w:rPr>
              <m:t>v</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v</m:t>
            </m:r>
          </m:e>
          <m:sub>
            <m:r>
              <w:rPr>
                <w:rFonts w:ascii="Cambria Math" w:hAnsi="Cambria Math"/>
              </w:rPr>
              <m:t>k​</m:t>
            </m:r>
          </m:sub>
        </m:sSub>
        <m:r>
          <m:rPr>
            <m:sty m:val="p"/>
          </m:rPr>
          <w:rPr>
            <w:rFonts w:ascii="Cambria Math" w:hAnsi="Cambria Math"/>
          </w:rPr>
          <m:t>=</m:t>
        </m:r>
        <m:r>
          <w:rPr>
            <w:rFonts w:ascii="Cambria Math" w:hAnsi="Cambria Math"/>
          </w:rPr>
          <m:t>1</m:t>
        </m:r>
      </m:oMath>
      <w:r>
        <w:t>.</w:t>
      </w:r>
    </w:p>
    <w:p w14:paraId="6860382A" w14:textId="77777777" w:rsidR="00AB27A8" w:rsidRDefault="00000000">
      <w:pPr>
        <w:pStyle w:val="BodyText"/>
      </w:pPr>
      <w:r>
        <w:t xml:space="preserve"> </w:t>
      </w:r>
    </w:p>
    <w:p w14:paraId="4E578E41" w14:textId="77777777" w:rsidR="00AB27A8" w:rsidRDefault="00000000">
      <w:pPr>
        <w:pStyle w:val="BodyText"/>
      </w:pPr>
      <w:r>
        <w:t xml:space="preserve">PLS2 aims to maximize the covariance between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oMath>
      <w:r>
        <w:t xml:space="preserve"> at each iteration. In the following simulations and application the number of components calculated by PLS2 is set to 2 to create an interpretable model.</w:t>
      </w:r>
    </w:p>
    <w:p w14:paraId="0FF93C24" w14:textId="77777777" w:rsidR="00AB27A8" w:rsidRDefault="00000000">
      <w:pPr>
        <w:pStyle w:val="Heading3"/>
      </w:pPr>
      <w:bookmarkStart w:id="16" w:name="variable-importance-in-projection-vip"/>
      <w:bookmarkEnd w:id="15"/>
      <w:r>
        <w:t>Variable importance in projection (VIP)</w:t>
      </w:r>
    </w:p>
    <w:p w14:paraId="6784F376" w14:textId="77777777" w:rsidR="00AB27A8" w:rsidRDefault="00000000">
      <w:pPr>
        <w:pStyle w:val="FirstParagraph"/>
      </w:pPr>
      <w:r>
        <w:t>In this work genes are selected in both ASCA+ and PLS through VIP which is a way to measure the contributions of each variable to the underlying models. According to:</w:t>
      </w:r>
    </w:p>
    <w:p w14:paraId="727CF385"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nor/>
                      </m:rPr>
                      <m:t>VIP</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jk</m:t>
                                </m:r>
                              </m:sub>
                              <m:sup>
                                <m:r>
                                  <w:rPr>
                                    <w:rFonts w:ascii="Cambria Math" w:hAnsi="Cambria Math"/>
                                  </w:rPr>
                                  <m:t>2</m:t>
                                </m:r>
                              </m:sup>
                            </m:sSubSup>
                          </m:e>
                        </m:nary>
                        <m:r>
                          <m:rPr>
                            <m:sty m:val="p"/>
                          </m:rPr>
                          <w:rPr>
                            <w:rFonts w:ascii="Cambria Math" w:hAnsi="Cambria Math"/>
                          </w:rPr>
                          <m:t>⋅</m:t>
                        </m:r>
                        <m:sSub>
                          <m:sSubPr>
                            <m:ctrlPr>
                              <w:rPr>
                                <w:rFonts w:ascii="Cambria Math" w:hAnsi="Cambria Math"/>
                              </w:rPr>
                            </m:ctrlPr>
                          </m:sSubPr>
                          <m:e>
                            <m:r>
                              <m:rPr>
                                <m:nor/>
                              </m:rPr>
                              <m:t>VE</m:t>
                            </m:r>
                          </m:e>
                          <m:sub>
                            <m:r>
                              <w:rPr>
                                <w:rFonts w:ascii="Cambria Math" w:hAnsi="Cambria Math"/>
                              </w:rPr>
                              <m:t>k</m:t>
                            </m:r>
                          </m:sub>
                        </m:sSub>
                      </m:num>
                      <m:den>
                        <m:sSub>
                          <m:sSubPr>
                            <m:ctrlPr>
                              <w:rPr>
                                <w:rFonts w:ascii="Cambria Math" w:hAnsi="Cambria Math"/>
                              </w:rPr>
                            </m:ctrlPr>
                          </m:sSubPr>
                          <m:e>
                            <m:r>
                              <m:rPr>
                                <m:nor/>
                              </m:rPr>
                              <m:t>VE</m:t>
                            </m:r>
                          </m:e>
                          <m:sub>
                            <m:r>
                              <w:rPr>
                                <w:rFonts w:ascii="Cambria Math" w:hAnsi="Cambria Math"/>
                              </w:rPr>
                              <m:t>total</m:t>
                            </m:r>
                          </m:sub>
                        </m:sSub>
                        <m:r>
                          <m:rPr>
                            <m:sty m:val="p"/>
                          </m:rPr>
                          <w:rPr>
                            <w:rFonts w:ascii="Cambria Math" w:hAnsi="Cambria Math"/>
                          </w:rPr>
                          <m:t>⋅</m:t>
                        </m:r>
                        <m:r>
                          <w:rPr>
                            <w:rFonts w:ascii="Cambria Math" w:hAnsi="Cambria Math"/>
                          </w:rPr>
                          <m:t>K</m:t>
                        </m:r>
                      </m:den>
                    </m:f>
                  </m:e>
                </m:rad>
              </m:e>
            </m:mr>
          </m:m>
          <m:r>
            <w:rPr>
              <w:rFonts w:ascii="Cambria Math" w:hAnsi="Cambria Math"/>
            </w:rPr>
            <m:t>  </m:t>
          </m:r>
          <m:d>
            <m:dPr>
              <m:ctrlPr>
                <w:rPr>
                  <w:rFonts w:ascii="Cambria Math" w:hAnsi="Cambria Math"/>
                </w:rPr>
              </m:ctrlPr>
            </m:dPr>
            <m:e>
              <m:r>
                <w:rPr>
                  <w:rFonts w:ascii="Cambria Math" w:hAnsi="Cambria Math"/>
                </w:rPr>
                <m:t>13</m:t>
              </m:r>
            </m:e>
          </m:d>
        </m:oMath>
      </m:oMathPara>
    </w:p>
    <w:p w14:paraId="3E97269C" w14:textId="77777777" w:rsidR="00AB27A8" w:rsidRDefault="00000000">
      <w:pPr>
        <w:pStyle w:val="FirstParagraph"/>
      </w:pPr>
      <w:r>
        <w:lastRenderedPageBreak/>
        <w:t xml:space="preserve">Where k=1…K represents the number of components in the respective models, j indexes a gene, </w:t>
      </w:r>
      <m:oMath>
        <m:r>
          <w:rPr>
            <w:rFonts w:ascii="Cambria Math" w:hAnsi="Cambria Math"/>
          </w:rPr>
          <m:t>H</m:t>
        </m:r>
      </m:oMath>
      <w:r>
        <w:t xml:space="preserve"> is substituted for the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or weights </w:t>
      </w:r>
      <m:oMath>
        <m:r>
          <m:rPr>
            <m:sty m:val="b"/>
          </m:rPr>
          <w:rPr>
            <w:rFonts w:ascii="Cambria Math" w:hAnsi="Cambria Math"/>
          </w:rPr>
          <m:t>U</m:t>
        </m:r>
      </m:oMath>
      <w:r>
        <w:t xml:space="preserve"> (for ASCA+ and PLS respectively) and VE is the variance explained, where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is the amount of variance explained by component k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total</m:t>
            </m:r>
          </m:sub>
        </m:sSub>
      </m:oMath>
      <w:r>
        <w:t xml:space="preserve"> is the variance explained by the whole model. In ASCA+ we calculate the VIP scores in the latent space of </w:t>
      </w:r>
      <m:oMath>
        <m:sSub>
          <m:sSubPr>
            <m:ctrlPr>
              <w:rPr>
                <w:rFonts w:ascii="Cambria Math" w:hAnsi="Cambria Math"/>
              </w:rPr>
            </m:ctrlPr>
          </m:sSubPr>
          <m:e>
            <m:r>
              <m:rPr>
                <m:sty m:val="b"/>
              </m:rPr>
              <w:rPr>
                <w:rFonts w:ascii="Cambria Math" w:hAnsi="Cambria Math"/>
              </w:rPr>
              <m:t>Y</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as described in (</w:t>
      </w:r>
      <w:hyperlink w:anchor="ref-thielASCAAPCAExtensions2017">
        <w:r>
          <w:rPr>
            <w:rStyle w:val="Hyperlink"/>
          </w:rPr>
          <w:t>12</w:t>
        </w:r>
      </w:hyperlink>
      <w:r>
        <w:t xml:space="preserve">). In PLS we use the VE from the latent space of </w:t>
      </w:r>
      <m:oMath>
        <m:r>
          <m:rPr>
            <m:sty m:val="b"/>
          </m:rPr>
          <w:rPr>
            <w:rFonts w:ascii="Cambria Math" w:hAnsi="Cambria Math"/>
          </w:rPr>
          <m:t>B</m:t>
        </m:r>
      </m:oMath>
      <w:r>
        <w:t xml:space="preserve"> using the weights (</w:t>
      </w:r>
      <m:oMath>
        <m:r>
          <m:rPr>
            <m:sty m:val="b"/>
          </m:rPr>
          <w:rPr>
            <w:rFonts w:ascii="Cambria Math" w:hAnsi="Cambria Math"/>
          </w:rPr>
          <m:t>U</m:t>
        </m:r>
      </m:oMath>
      <w:r>
        <w:t xml:space="preserve">) from the latent space of </w:t>
      </w:r>
      <m:oMath>
        <m:r>
          <m:rPr>
            <m:sty m:val="b"/>
          </m:rPr>
          <w:rPr>
            <w:rFonts w:ascii="Cambria Math" w:hAnsi="Cambria Math"/>
          </w:rPr>
          <m:t>Y</m:t>
        </m:r>
      </m:oMath>
      <w:r>
        <w:t>.</w:t>
      </w:r>
    </w:p>
    <w:p w14:paraId="47B0FAB9" w14:textId="77777777" w:rsidR="00AB27A8" w:rsidRDefault="00000000">
      <w:pPr>
        <w:pStyle w:val="Heading3"/>
      </w:pPr>
      <w:bookmarkStart w:id="17" w:name="X26d2faa77e7d98d0c6139bcb8b7d84c9b036e66"/>
      <w:bookmarkEnd w:id="16"/>
      <w:r>
        <w:t>Multivariate ASCA residual analysis (MASCARA)</w:t>
      </w:r>
    </w:p>
    <w:p w14:paraId="6B8F730E" w14:textId="77777777" w:rsidR="00AB27A8" w:rsidRDefault="00000000">
      <w:pPr>
        <w:pStyle w:val="FirstParagraph"/>
      </w:pPr>
      <w:r>
        <w:t xml:space="preserve">MASCARA combines the effect estimation with GLM (from ASCA+) with PLS2. The method entails estimating effect matrices with the GLM step of ASCA+ as described above to obtain the estimated residual matrix </w:t>
      </w:r>
      <m:oMath>
        <m:acc>
          <m:accPr>
            <m:ctrlPr>
              <w:rPr>
                <w:rFonts w:ascii="Cambria Math" w:hAnsi="Cambria Math"/>
              </w:rPr>
            </m:ctrlPr>
          </m:accPr>
          <m:e>
            <m:r>
              <m:rPr>
                <m:sty m:val="b"/>
              </m:rPr>
              <w:rPr>
                <w:rFonts w:ascii="Cambria Math" w:hAnsi="Cambria Math"/>
              </w:rPr>
              <m:t>E</m:t>
            </m:r>
          </m:e>
        </m:acc>
      </m:oMath>
      <w:r>
        <w:t xml:space="preserve">. The variance explained by all effect matrices of the experimental factors and interactions is removed. What remains in this </w:t>
      </w:r>
      <m:oMath>
        <m:acc>
          <m:accPr>
            <m:ctrlPr>
              <w:rPr>
                <w:rFonts w:ascii="Cambria Math" w:hAnsi="Cambria Math"/>
              </w:rPr>
            </m:ctrlPr>
          </m:accPr>
          <m:e>
            <m:r>
              <m:rPr>
                <m:sty m:val="b"/>
              </m:rPr>
              <w:rPr>
                <w:rFonts w:ascii="Cambria Math" w:hAnsi="Cambria Math"/>
              </w:rPr>
              <m:t>E</m:t>
            </m:r>
          </m:e>
        </m:acc>
      </m:oMath>
      <w:r>
        <w:t xml:space="preserve"> matrix is individual variance of each plant that is assumed to contain not just random technical variance but some form of structured variance induced by ambient (uncontrolled) effects. The matrix </w:t>
      </w:r>
      <m:oMath>
        <m:acc>
          <m:accPr>
            <m:ctrlPr>
              <w:rPr>
                <w:rFonts w:ascii="Cambria Math" w:hAnsi="Cambria Math"/>
              </w:rPr>
            </m:ctrlPr>
          </m:accPr>
          <m:e>
            <m:r>
              <m:rPr>
                <m:sty m:val="b"/>
              </m:rPr>
              <w:rPr>
                <w:rFonts w:ascii="Cambria Math" w:hAnsi="Cambria Math"/>
              </w:rPr>
              <m:t>E</m:t>
            </m:r>
          </m:e>
        </m:acc>
      </m:oMath>
      <w:r>
        <w:t xml:space="preserve"> from equation (8) is substituted as </w:t>
      </w:r>
      <m:oMath>
        <m:r>
          <m:rPr>
            <m:sty m:val="b"/>
          </m:rPr>
          <w:rPr>
            <w:rFonts w:ascii="Cambria Math" w:hAnsi="Cambria Math"/>
          </w:rPr>
          <m:t>Y</m:t>
        </m:r>
      </m:oMath>
      <w:r>
        <w:t xml:space="preserve"> into PLS2 after being split into baits and remainder as per equation (11).</w:t>
      </w:r>
    </w:p>
    <w:p w14:paraId="793DD6D8" w14:textId="77777777" w:rsidR="00AB27A8" w:rsidRDefault="00000000">
      <w:pPr>
        <w:pStyle w:val="BodyText"/>
      </w:pPr>
      <w:r>
        <w:t>The genes are ranked based on target projection ((</w:t>
      </w:r>
      <w:hyperlink w:anchor="Xf6b94e0f73326edb35ae19b864793f61a792cea">
        <w:r>
          <w:rPr>
            <w:rStyle w:val="Hyperlink"/>
          </w:rPr>
          <w:t>21</w:t>
        </w:r>
      </w:hyperlink>
      <w:r>
        <w:t xml:space="preserve">)) of the loadings </w:t>
      </w:r>
      <m:oMath>
        <m:r>
          <m:rPr>
            <m:sty m:val="b"/>
          </m:rPr>
          <w:rPr>
            <w:rFonts w:ascii="Cambria Math" w:hAnsi="Cambria Math"/>
          </w:rPr>
          <m:t>P</m:t>
        </m:r>
      </m:oMath>
      <w:r>
        <w:t xml:space="preserve"> onto the mean vector of the bait loadings </w:t>
      </w:r>
      <m:oMath>
        <m:r>
          <m:rPr>
            <m:sty m:val="b"/>
          </m:rPr>
          <w:rPr>
            <w:rFonts w:ascii="Cambria Math" w:hAnsi="Cambria Math"/>
          </w:rPr>
          <m:t>Q</m:t>
        </m:r>
      </m:oMath>
      <w:r>
        <w:t xml:space="preserve"> in 2 components: </w:t>
      </w:r>
      <m:oMath>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m:t>
                      </m:r>
                    </m:sub>
                  </m:sSub>
                </m:e>
              </m:mr>
            </m:m>
          </m:e>
        </m:d>
      </m:oMath>
      <w:r>
        <w:t xml:space="preserve"> 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k</m:t>
            </m:r>
          </m:sub>
        </m:sSub>
      </m:oMath>
      <w:r>
        <w:t xml:space="preserve"> is the mean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component of the PLS2 model. The target projected loadings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oMath>
      <w:r>
        <w:t xml:space="preserve"> are calculated such that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b"/>
                  </m:rPr>
                  <w:rPr>
                    <w:rFonts w:ascii="Cambria Math" w:hAnsi="Cambria Math"/>
                  </w:rPr>
                  <m:t>P</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num>
              <m:den>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e>
        </m:d>
      </m:oMath>
      <w:r>
        <w:t>.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p w14:paraId="546818EC" w14:textId="77777777" w:rsidR="00AB27A8" w:rsidRDefault="00000000">
      <w:pPr>
        <w:pStyle w:val="Heading2"/>
      </w:pPr>
      <w:bookmarkStart w:id="18" w:name="Xb903a9c2533eb30015deee5d61559b4ef561382"/>
      <w:bookmarkEnd w:id="12"/>
      <w:bookmarkEnd w:id="17"/>
      <w:r>
        <w:t>Performance evaluation; Log2 geometric mean rank</w:t>
      </w:r>
    </w:p>
    <w:p w14:paraId="38910AB3" w14:textId="77777777" w:rsidR="00AB27A8" w:rsidRDefault="00000000">
      <w:pPr>
        <w:pStyle w:val="FirstParagraph"/>
      </w:pPr>
      <w:r>
        <w:t xml:space="preserve">To evaluate performance we use log2 geometric mean rank (log2(GMR); </w:t>
      </w:r>
      <m:oMath>
        <m:acc>
          <m:accPr>
            <m:chr m:val="‾"/>
            <m:ctrlPr>
              <w:rPr>
                <w:rFonts w:ascii="Cambria Math" w:hAnsi="Cambria Math"/>
              </w:rPr>
            </m:ctrlPr>
          </m:accPr>
          <m:e>
            <m:r>
              <w:rPr>
                <w:rFonts w:ascii="Cambria Math" w:hAnsi="Cambria Math"/>
              </w:rPr>
              <m:t>γ</m:t>
            </m:r>
          </m:e>
        </m:acc>
      </m:oMath>
      <w:r>
        <w:t>), defined as:</w:t>
      </w:r>
    </w:p>
    <w:p w14:paraId="2F543D42"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w:rPr>
                        <w:rFonts w:ascii="Cambria Math" w:hAnsi="Cambria Math"/>
                      </w:rPr>
                      <m:t>γ</m:t>
                    </m:r>
                  </m:e>
                </m:acc>
                <m:r>
                  <m:rPr>
                    <m:sty m:val="p"/>
                  </m:rPr>
                  <w:rPr>
                    <w:rFonts w:ascii="Cambria Math" w:hAnsi="Cambria Math"/>
                  </w:rPr>
                  <m:t>=</m:t>
                </m:r>
                <m:r>
                  <w:rPr>
                    <w:rFonts w:ascii="Cambria Math" w:hAnsi="Cambria Math"/>
                  </w:rPr>
                  <m:t>log2</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spike</m:t>
                                    </m:r>
                                  </m:sub>
                                </m:sSub>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spike</m:t>
                                    </m:r>
                                  </m:sub>
                                </m:sSub>
                              </m:sup>
                              <m:e>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j</m:t>
                                        </m:r>
                                      </m:e>
                                      <m:sub>
                                        <m:r>
                                          <w:rPr>
                                            <w:rFonts w:ascii="Cambria Math" w:hAnsi="Cambria Math"/>
                                          </w:rPr>
                                          <m:t>spike</m:t>
                                        </m:r>
                                      </m:sub>
                                    </m:sSub>
                                  </m:sub>
                                </m:sSub>
                              </m:e>
                            </m:nary>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spike</m:t>
                            </m:r>
                          </m:sub>
                        </m:sSub>
                      </m:sup>
                    </m:sSup>
                  </m:e>
                </m:d>
              </m:e>
            </m:mr>
          </m:m>
          <m:r>
            <w:rPr>
              <w:rFonts w:ascii="Cambria Math" w:hAnsi="Cambria Math"/>
            </w:rPr>
            <m:t>  </m:t>
          </m:r>
          <m:d>
            <m:dPr>
              <m:ctrlPr>
                <w:rPr>
                  <w:rFonts w:ascii="Cambria Math" w:hAnsi="Cambria Math"/>
                </w:rPr>
              </m:ctrlPr>
            </m:dPr>
            <m:e>
              <m:r>
                <w:rPr>
                  <w:rFonts w:ascii="Cambria Math" w:hAnsi="Cambria Math"/>
                </w:rPr>
                <m:t>14</m:t>
              </m:r>
            </m:e>
          </m:d>
        </m:oMath>
      </m:oMathPara>
    </w:p>
    <w:p w14:paraId="4DBEEAB6" w14:textId="77777777" w:rsidR="00AB27A8" w:rsidRDefault="00000000">
      <w:pPr>
        <w:pStyle w:val="FirstParagraph"/>
      </w:pPr>
      <w:r>
        <w:t xml:space="preserve">for </w:t>
      </w:r>
      <m:oMath>
        <m:sSub>
          <m:sSubPr>
            <m:ctrlPr>
              <w:rPr>
                <w:rFonts w:ascii="Cambria Math" w:hAnsi="Cambria Math"/>
              </w:rPr>
            </m:ctrlPr>
          </m:sSubPr>
          <m:e>
            <m:r>
              <w:rPr>
                <w:rFonts w:ascii="Cambria Math" w:hAnsi="Cambria Math"/>
              </w:rPr>
              <m:t>J</m:t>
            </m:r>
          </m:e>
          <m:sub>
            <m:r>
              <w:rPr>
                <w:rFonts w:ascii="Cambria Math" w:hAnsi="Cambria Math"/>
              </w:rPr>
              <m:t>spike</m:t>
            </m:r>
          </m:sub>
        </m:sSub>
      </m:oMath>
      <w:r>
        <w:t xml:space="preserve"> spikes. A lower </w:t>
      </w:r>
      <m:oMath>
        <m:r>
          <w:rPr>
            <w:rFonts w:ascii="Cambria Math" w:hAnsi="Cambria Math"/>
          </w:rPr>
          <m:t>γ</m:t>
        </m:r>
      </m:oMath>
      <w:r>
        <w:t xml:space="preserve"> indicates better performance.</w:t>
      </w:r>
    </w:p>
    <w:p w14:paraId="303F2AE0" w14:textId="77777777" w:rsidR="00AB27A8" w:rsidRDefault="00000000">
      <w:pPr>
        <w:pStyle w:val="Heading1"/>
      </w:pPr>
      <w:bookmarkStart w:id="19" w:name="results"/>
      <w:bookmarkEnd w:id="4"/>
      <w:bookmarkEnd w:id="18"/>
      <w:r>
        <w:t>Results</w:t>
      </w:r>
    </w:p>
    <w:p w14:paraId="025C964A" w14:textId="77777777" w:rsidR="00AB27A8" w:rsidRDefault="00000000">
      <w:pPr>
        <w:pStyle w:val="Heading2"/>
      </w:pPr>
      <w:bookmarkStart w:id="20" w:name="Xfa44759ae159fe18ce845bdd32c1d96e816d4f6"/>
      <w:r>
        <w:t>Simulation 1: Combined effect size and number of differential genes</w:t>
      </w:r>
    </w:p>
    <w:p w14:paraId="34FE503A" w14:textId="77777777" w:rsidR="00AB27A8" w:rsidRDefault="00000000">
      <w:pPr>
        <w:pStyle w:val="FirstParagraph"/>
      </w:pPr>
      <w:r>
        <w:t>For this simulation we have some experimental variance for the combined effect and time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respectively) a fixed amount of random noise </w:t>
      </w:r>
      <m:oMath>
        <m:r>
          <m:rPr>
            <m:sty m:val="b"/>
          </m:rPr>
          <w:rPr>
            <w:rFonts w:ascii="Cambria Math" w:hAnsi="Cambria Math"/>
          </w:rPr>
          <m:t>E</m:t>
        </m:r>
      </m:oMath>
      <w:r>
        <w:t xml:space="preserve"> and a fixed amount of structured residual variance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within which our 4 baits and 12 spikes share a </w:t>
      </w:r>
      <w:r>
        <w:lastRenderedPageBreak/>
        <w:t xml:space="preserve">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w:t>
      </w:r>
    </w:p>
    <w:p w14:paraId="1B589585" w14:textId="77777777" w:rsidR="00AB27A8" w:rsidRDefault="00000000">
      <w:pPr>
        <w:pStyle w:val="CaptionedFigure"/>
      </w:pPr>
      <w:r>
        <w:rPr>
          <w:noProof/>
        </w:rPr>
        <w:drawing>
          <wp:inline distT="0" distB="0" distL="0" distR="0" wp14:anchorId="11BF4B2E" wp14:editId="72B3E57F">
            <wp:extent cx="4620126" cy="3696101"/>
            <wp:effectExtent l="0" t="0" r="0" b="0"/>
            <wp:docPr id="55" name="Picture"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9), PLS model per equation (12)."/>
            <wp:cNvGraphicFramePr/>
            <a:graphic xmlns:a="http://schemas.openxmlformats.org/drawingml/2006/main">
              <a:graphicData uri="http://schemas.openxmlformats.org/drawingml/2006/picture">
                <pic:pic xmlns:pic="http://schemas.openxmlformats.org/drawingml/2006/picture">
                  <pic:nvPicPr>
                    <pic:cNvPr id="56" name="Picture" descr="Paper_markdown_files/figure-docx/t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06CCEA2" w14:textId="77777777" w:rsidR="00AB27A8" w:rsidRDefault="00000000">
      <w:pPr>
        <w:pStyle w:val="ImageCaption"/>
      </w:pPr>
      <w:bookmarkStart w:id="21" w:name="fig:tc"/>
      <w:bookmarkEnd w:id="21"/>
      <w:r>
        <w:t>Figure 6: Results of simulation 1 for all 4 methods. Log2 geometric mean rank (log2(GMR)) as a function of the number of differentially expressed URP genes (x-axis) and combined effect size (y axis);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lower log2(GMR); dark blue, indicates better performance. ASCA model calculated per equation (9), PLS model per equation (12).</w:t>
      </w:r>
    </w:p>
    <w:p w14:paraId="593FE2FC" w14:textId="77777777" w:rsidR="00AB27A8" w:rsidRDefault="00000000">
      <w:pPr>
        <w:pStyle w:val="BodyText"/>
      </w:pPr>
      <w:r>
        <w:t>We can see in Figure 6 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between group variance is removed with MASCARA.</w:t>
      </w:r>
    </w:p>
    <w:p w14:paraId="02F3B7FD" w14:textId="77777777" w:rsidR="00AB27A8" w:rsidRDefault="00000000">
      <w:pPr>
        <w:pStyle w:val="Heading2"/>
      </w:pPr>
      <w:bookmarkStart w:id="22" w:name="simulation-2-replication"/>
      <w:bookmarkEnd w:id="20"/>
      <w:r>
        <w:t>Simulation 2: Replication</w:t>
      </w:r>
    </w:p>
    <w:p w14:paraId="5AE6219A" w14:textId="77777777" w:rsidR="00AB27A8" w:rsidRDefault="00000000">
      <w:pPr>
        <w:pStyle w:val="FirstParagraph"/>
      </w:pPr>
      <w:r>
        <w:t>The results from above were obtained from datasets with varying noise, with core aspects such as the underlying structure, the number of replicates, the strength of correlation between variables, and the size of the noise remained fixed. With the following, we test the feasibility range of MASCARA with respect to the ratio of 3 key variance parameters namely:</w:t>
      </w:r>
    </w:p>
    <w:p w14:paraId="49A3EFBB" w14:textId="77777777" w:rsidR="00AB27A8" w:rsidRDefault="00000000">
      <w:pPr>
        <w:pStyle w:val="Compact"/>
        <w:numPr>
          <w:ilvl w:val="0"/>
          <w:numId w:val="4"/>
        </w:numPr>
      </w:pPr>
      <w:r>
        <w:t>Within group correlation structure</w:t>
      </w:r>
    </w:p>
    <w:p w14:paraId="3130C129" w14:textId="77777777" w:rsidR="00AB27A8" w:rsidRDefault="00000000">
      <w:pPr>
        <w:pStyle w:val="Compact"/>
        <w:numPr>
          <w:ilvl w:val="0"/>
          <w:numId w:val="4"/>
        </w:numPr>
      </w:pPr>
      <w:r>
        <w:lastRenderedPageBreak/>
        <w:t>Between group correlation structure</w:t>
      </w:r>
    </w:p>
    <w:p w14:paraId="366F0EC6" w14:textId="77777777" w:rsidR="00AB27A8" w:rsidRDefault="00000000">
      <w:pPr>
        <w:pStyle w:val="Compact"/>
        <w:numPr>
          <w:ilvl w:val="0"/>
          <w:numId w:val="4"/>
        </w:numPr>
      </w:pPr>
      <w:r>
        <w:t>Random noise</w:t>
      </w:r>
    </w:p>
    <w:p w14:paraId="5D968357" w14:textId="77777777" w:rsidR="00AB27A8" w:rsidRDefault="00000000">
      <w:pPr>
        <w:pStyle w:val="FirstParagraph"/>
      </w:pPr>
      <w:r>
        <w:t>Here we set a fixed size of within group correlation structure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as well as number of non-pathway DE genes to 30 (yellow bar size 5) across all iterations of this test. We vary the sizes of the other two variance parameters (</w:t>
      </w:r>
      <w:r>
        <w:rPr>
          <w:i/>
          <w:iCs/>
        </w:rPr>
        <w:t>d</w:t>
      </w:r>
      <w:r>
        <w:t xml:space="preserve"> and </w:t>
      </w:r>
      <w:r>
        <w:rPr>
          <w:i/>
          <w:iCs/>
        </w:rPr>
        <w:t>l</w:t>
      </w:r>
      <w:r>
        <w:t>). Furthermore we also show the effect of replicate number and demonstrate that MASCARA (along with the other methods) can be applied to data with generic profiles, not limited to the specific structures that were used to demonstrate the differences in coexpression analysis above. Here we create 20 datasets with random combined effect and within group correlation structures.</w:t>
      </w:r>
    </w:p>
    <w:p w14:paraId="72399065" w14:textId="77777777" w:rsidR="00AB27A8" w:rsidRDefault="00000000">
      <w:pPr>
        <w:pStyle w:val="BodyText"/>
      </w:pPr>
      <w:r>
        <w:rPr>
          <w:noProof/>
        </w:rPr>
        <w:lastRenderedPageBreak/>
        <w:drawing>
          <wp:inline distT="0" distB="0" distL="0" distR="0" wp14:anchorId="7A782568" wp14:editId="6E3FF2C0">
            <wp:extent cx="4620126" cy="3696101"/>
            <wp:effectExtent l="0" t="0" r="0" b="0"/>
            <wp:docPr id="60" name="Picture"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9), PLS model per equation (12)."/>
            <wp:cNvGraphicFramePr/>
            <a:graphic xmlns:a="http://schemas.openxmlformats.org/drawingml/2006/main">
              <a:graphicData uri="http://schemas.openxmlformats.org/drawingml/2006/picture">
                <pic:pic xmlns:pic="http://schemas.openxmlformats.org/drawingml/2006/picture">
                  <pic:nvPicPr>
                    <pic:cNvPr id="61" name="Picture" descr="Paper_markdown_files/figure-docx/repre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650A637" wp14:editId="7F054632">
            <wp:extent cx="5334000" cy="3291840"/>
            <wp:effectExtent l="0" t="0" r="0" b="0"/>
            <wp:docPr id="63" name="Picture" descr="(#fig:repres-2)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9), PLS model per equation (12)."/>
            <wp:cNvGraphicFramePr/>
            <a:graphic xmlns:a="http://schemas.openxmlformats.org/drawingml/2006/main">
              <a:graphicData uri="http://schemas.openxmlformats.org/drawingml/2006/picture">
                <pic:pic xmlns:pic="http://schemas.openxmlformats.org/drawingml/2006/picture">
                  <pic:nvPicPr>
                    <pic:cNvPr id="64" name="Picture" descr="replication_res.png"/>
                    <pic:cNvPicPr>
                      <a:picLocks noChangeAspect="1" noChangeArrowheads="1"/>
                    </pic:cNvPicPr>
                  </pic:nvPicPr>
                  <pic:blipFill>
                    <a:blip r:embed="rId15"/>
                    <a:stretch>
                      <a:fillRect/>
                    </a:stretch>
                  </pic:blipFill>
                  <pic:spPr bwMode="auto">
                    <a:xfrm>
                      <a:off x="0" y="0"/>
                      <a:ext cx="5334000" cy="3291840"/>
                    </a:xfrm>
                    <a:prstGeom prst="rect">
                      <a:avLst/>
                    </a:prstGeom>
                    <a:noFill/>
                    <a:ln w="9525">
                      <a:noFill/>
                      <a:headEnd/>
                      <a:tailEnd/>
                    </a:ln>
                  </pic:spPr>
                </pic:pic>
              </a:graphicData>
            </a:graphic>
          </wp:inline>
        </w:drawing>
      </w:r>
    </w:p>
    <w:p w14:paraId="25657332" w14:textId="77777777" w:rsidR="00AB27A8" w:rsidRDefault="00000000">
      <w:pPr>
        <w:pStyle w:val="BodyText"/>
      </w:pPr>
      <w:r>
        <w:t xml:space="preserve">It was expected that all geometric mean ranks converge towards a minimum with increasing numbers of replicates, see ??.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w:t>
      </w:r>
      <w:r>
        <w:lastRenderedPageBreak/>
        <w:t>combined effect size (CE) MASCARA outperforms the other methods but its performance is affected by random noise (E) size.</w:t>
      </w:r>
    </w:p>
    <w:p w14:paraId="40010C6C" w14:textId="77777777" w:rsidR="00AB27A8" w:rsidRDefault="00000000">
      <w:pPr>
        <w:pStyle w:val="BodyText"/>
      </w:pPr>
      <w:r>
        <w:t>In simulation 2 we fixed the number of differential URP genes to 30, however this is less than 2% of the total number of genes in each dataset. In the real data example more than 10% of of the total number of genes are differentially expressed. As shown in simulation 1 (Figure 6) higher numbers of DE URP genes results in higher geometric mean rank of the spikes for correlations, ASCA and PLS. MASCARA is designed specifically to mitigate the effect of large numbers of DE URP genes. Here we show that this is achieved.</w:t>
      </w:r>
    </w:p>
    <w:p w14:paraId="03465B1D" w14:textId="77777777" w:rsidR="00AB27A8" w:rsidRDefault="00000000">
      <w:pPr>
        <w:pStyle w:val="Heading1"/>
      </w:pPr>
      <w:bookmarkStart w:id="23" w:name="real-data-applications"/>
      <w:bookmarkEnd w:id="19"/>
      <w:bookmarkEnd w:id="22"/>
      <w:r>
        <w:t>Real Data Applications</w:t>
      </w:r>
    </w:p>
    <w:p w14:paraId="3D220CC6" w14:textId="77777777" w:rsidR="00AB27A8" w:rsidRDefault="00000000">
      <w:pPr>
        <w:pStyle w:val="FirstParagraph"/>
      </w:pPr>
      <w:r>
        <w:t>It is apparent that MASCARA has a particular use case for coexpression analysis in data where there is a lot of experimentally induced between-group variance across many genes as well as some within-group correlation structure shared between pathway genes that is caused by independent non-controlled ambient factors.</w:t>
      </w:r>
    </w:p>
    <w:p w14:paraId="5E50EC56" w14:textId="77777777" w:rsidR="00AB27A8" w:rsidRDefault="00000000">
      <w:pPr>
        <w:pStyle w:val="BodyText"/>
      </w:pPr>
      <w:r>
        <w:t>Here we illustrate an application of MASCARA to the dataset from (</w:t>
      </w:r>
      <w:hyperlink w:anchor="Xc2b17888754b4d684e1893820af32b0e8e89a94">
        <w:r>
          <w:rPr>
            <w:rStyle w:val="Hyperlink"/>
          </w:rPr>
          <w:t>5</w:t>
        </w:r>
      </w:hyperlink>
      <w:r>
        <w:t>). For this we take 4 core strigolactone genes (Os11t0587000, Os04t0550600, Os01t0746400 and Os01t0700900 of the 9 used for illustrations in figures 3 and 4) as baits and investigate their relationship with top candidate genes.</w:t>
      </w:r>
    </w:p>
    <w:p w14:paraId="61877901" w14:textId="77777777" w:rsidR="00AB27A8" w:rsidRDefault="00000000">
      <w:pPr>
        <w:pStyle w:val="BodyText"/>
      </w:pPr>
      <w:r>
        <w:t>In the real data from (</w:t>
      </w:r>
      <w:hyperlink w:anchor="Xc2b17888754b4d684e1893820af32b0e8e89a94">
        <w:r>
          <w:rPr>
            <w:rStyle w:val="Hyperlink"/>
          </w:rPr>
          <w:t>5</w:t>
        </w:r>
      </w:hyperlink>
      <w:r>
        <w:t>) 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experiment-independent relationship amongst the SL genes compared to their correlations with other DE genes, as displayed in Figure 9 where the blue distribution indicates residual correlations between the 9 POI transcripts from figures 3 and 4 and the red indicates residual correlations between these 9 and top DE URP genes.</w:t>
      </w:r>
    </w:p>
    <w:p w14:paraId="253A0C6F" w14:textId="77777777" w:rsidR="00AB27A8" w:rsidRDefault="00000000">
      <w:pPr>
        <w:pStyle w:val="CaptionedFigure"/>
      </w:pPr>
      <w:r>
        <w:rPr>
          <w:noProof/>
        </w:rPr>
        <w:lastRenderedPageBreak/>
        <w:drawing>
          <wp:inline distT="0" distB="0" distL="0" distR="0" wp14:anchorId="0862F18A" wp14:editId="56D8FAE5">
            <wp:extent cx="4620126" cy="3696101"/>
            <wp:effectExtent l="0" t="0" r="0" b="0"/>
            <wp:docPr id="68" name="Picture" descr="Figure 9: Distributions of Fisher transformed Pearson correlations (supplementary equation (16)) in residuals from the ASCA model on the data from (5). Blue indicates correlations between SL pathway genes, red indicates correlations between SL pathway genes and top 10% DE URP genes (upregulated in P- over P+)."/>
            <wp:cNvGraphicFramePr/>
            <a:graphic xmlns:a="http://schemas.openxmlformats.org/drawingml/2006/main">
              <a:graphicData uri="http://schemas.openxmlformats.org/drawingml/2006/picture">
                <pic:pic xmlns:pic="http://schemas.openxmlformats.org/drawingml/2006/picture">
                  <pic:nvPicPr>
                    <pic:cNvPr id="69" name="Picture" descr="Paper_markdown_files/figure-docx/residualdis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EFBB579" w14:textId="77777777" w:rsidR="00AB27A8" w:rsidRDefault="00000000">
      <w:pPr>
        <w:pStyle w:val="ImageCaption"/>
      </w:pPr>
      <w:bookmarkStart w:id="24" w:name="fig:residualdists"/>
      <w:bookmarkEnd w:id="24"/>
      <w:r>
        <w:t>Figure 9: Distributions of Fisher transformed Pearson correlations (supplementary equation (16)) in residuals from the ASCA model on the data from (</w:t>
      </w:r>
      <w:hyperlink w:anchor="Xc2b17888754b4d684e1893820af32b0e8e89a94">
        <w:r>
          <w:rPr>
            <w:rStyle w:val="Hyperlink"/>
          </w:rPr>
          <w:t>5</w:t>
        </w:r>
      </w:hyperlink>
      <w:r>
        <w:t>). Blue indicates correlations between SL pathway genes, red indicates correlations between SL pathway genes and top 10% DE URP genes (upregulated in P- over P+).</w:t>
      </w:r>
    </w:p>
    <w:p w14:paraId="596DB0CE" w14:textId="77777777" w:rsidR="00AB27A8" w:rsidRDefault="00000000">
      <w:pPr>
        <w:pStyle w:val="BodyText"/>
      </w:pPr>
      <w:r>
        <w:t>Some example top candidate genes are shown in Figure 10.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hyperlink w:anchor="Xbd25994ee0f44976988919f4c291e7808fe56a3">
        <w:r>
          <w:rPr>
            <w:rStyle w:val="Hyperlink"/>
          </w:rPr>
          <w:t>22</w:t>
        </w:r>
      </w:hyperlink>
      <w:r>
        <w:t>), (</w:t>
      </w:r>
      <w:hyperlink w:anchor="Xea043edabf8aaad9d19b1e892525d9fffe3a696">
        <w:r>
          <w:rPr>
            <w:rStyle w:val="Hyperlink"/>
          </w:rPr>
          <w:t>23</w:t>
        </w:r>
      </w:hyperlink>
      <w:r>
        <w:t>)). The interaction between these two pathways has been characterised recently under nitrogen limitation by (</w:t>
      </w:r>
      <w:hyperlink w:anchor="X2e16474dbff84e9966c63a78f86e923d201544c">
        <w:r>
          <w:rPr>
            <w:rStyle w:val="Hyperlink"/>
          </w:rPr>
          <w:t>24</w:t>
        </w:r>
      </w:hyperlink>
      <w:r>
        <w:t>).</w:t>
      </w:r>
    </w:p>
    <w:p w14:paraId="6024C479" w14:textId="77777777" w:rsidR="00AB27A8" w:rsidRDefault="00000000">
      <w:pPr>
        <w:pStyle w:val="CaptionedFigure"/>
      </w:pPr>
      <w:r>
        <w:rPr>
          <w:noProof/>
        </w:rPr>
        <w:lastRenderedPageBreak/>
        <w:drawing>
          <wp:inline distT="0" distB="0" distL="0" distR="0" wp14:anchorId="5D1E1322" wp14:editId="65D0E76D">
            <wp:extent cx="5334000" cy="3291840"/>
            <wp:effectExtent l="0" t="0" r="0" b="0"/>
            <wp:docPr id="72" name="Picture" descr="Figure 10: Selected candidates from A-C ranked correlations and D-F MASCARA. X axes; transformed expression level of one of the bait genes (CCD8), y axes; expression levels of three example coexpression candidates for each method (see (5) for preprocessing details)."/>
            <wp:cNvGraphicFramePr/>
            <a:graphic xmlns:a="http://schemas.openxmlformats.org/drawingml/2006/main">
              <a:graphicData uri="http://schemas.openxmlformats.org/drawingml/2006/picture">
                <pic:pic xmlns:pic="http://schemas.openxmlformats.org/drawingml/2006/picture">
                  <pic:nvPicPr>
                    <pic:cNvPr id="73" name="Picture" descr="within_between_example.png"/>
                    <pic:cNvPicPr>
                      <a:picLocks noChangeAspect="1" noChangeArrowheads="1"/>
                    </pic:cNvPicPr>
                  </pic:nvPicPr>
                  <pic:blipFill>
                    <a:blip r:embed="rId17"/>
                    <a:stretch>
                      <a:fillRect/>
                    </a:stretch>
                  </pic:blipFill>
                  <pic:spPr bwMode="auto">
                    <a:xfrm>
                      <a:off x="0" y="0"/>
                      <a:ext cx="5334000" cy="3291840"/>
                    </a:xfrm>
                    <a:prstGeom prst="rect">
                      <a:avLst/>
                    </a:prstGeom>
                    <a:noFill/>
                    <a:ln w="9525">
                      <a:noFill/>
                      <a:headEnd/>
                      <a:tailEnd/>
                    </a:ln>
                  </pic:spPr>
                </pic:pic>
              </a:graphicData>
            </a:graphic>
          </wp:inline>
        </w:drawing>
      </w:r>
    </w:p>
    <w:p w14:paraId="7D923689" w14:textId="77777777" w:rsidR="00AB27A8" w:rsidRDefault="00000000">
      <w:pPr>
        <w:pStyle w:val="ImageCaption"/>
      </w:pPr>
      <w:bookmarkStart w:id="25" w:name="fig:realcandidates"/>
      <w:bookmarkEnd w:id="25"/>
      <w:r>
        <w:t>Figure 10: Selected candidates from A-C ranked correlations and D-F MASCARA. X axes; transformed expression level of one of the bait genes (CCD8), y axes; expression levels of three example coexpression candidates for each method (see (</w:t>
      </w:r>
      <w:hyperlink w:anchor="Xc2b17888754b4d684e1893820af32b0e8e89a94">
        <w:r>
          <w:rPr>
            <w:rStyle w:val="Hyperlink"/>
          </w:rPr>
          <w:t>5</w:t>
        </w:r>
      </w:hyperlink>
      <w:r>
        <w:t>) for preprocessing details).</w:t>
      </w:r>
    </w:p>
    <w:p w14:paraId="6D432B24" w14:textId="77777777" w:rsidR="00AB27A8" w:rsidRDefault="00000000">
      <w:pPr>
        <w:pStyle w:val="Heading1"/>
      </w:pPr>
      <w:bookmarkStart w:id="26" w:name="discussion-and-conclusions"/>
      <w:bookmarkEnd w:id="23"/>
      <w:r>
        <w:t>Discussion and conclusions</w:t>
      </w:r>
    </w:p>
    <w:p w14:paraId="44DAEA35" w14:textId="77777777" w:rsidR="00AB27A8" w:rsidRDefault="00000000">
      <w:pPr>
        <w:pStyle w:val="FirstParagraph"/>
      </w:pPr>
      <w:r>
        <w:t>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baits and the rest of the data. MASCARA thrives on the fact that within the typical experimental setup small systematic variance exists between replicates due to variations in ambient factors that affect the plant, and therefore the variance structures in the resulting data.</w:t>
      </w:r>
    </w:p>
    <w:p w14:paraId="1D57BCE9" w14:textId="77777777" w:rsidR="00AB27A8" w:rsidRDefault="00000000">
      <w:pPr>
        <w:pStyle w:val="BodyText"/>
      </w:pPr>
      <w:r>
        <w:t>Through simulation studies we showed the conditions under which MASCARA is suitable for coexpression analysis and compared it to a selection of other coexpression methods (ASCA+, PLS2 and correlations). These methods were applied to data from (</w:t>
      </w:r>
      <w:hyperlink w:anchor="Xc2b17888754b4d684e1893820af32b0e8e89a94">
        <w:r>
          <w:rPr>
            <w:rStyle w:val="Hyperlink"/>
          </w:rPr>
          <w:t>5</w:t>
        </w:r>
      </w:hyperlink>
      <w:r>
        <w:t>) 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hyperlink w:anchor="Xaca7e11f7e5f0a0465524ca94b5740f80e57dcd">
        <w:r>
          <w:rPr>
            <w:rStyle w:val="Hyperlink"/>
          </w:rPr>
          <w:t>11</w:t>
        </w:r>
      </w:hyperlink>
      <w:r>
        <w:t>), (</w:t>
      </w:r>
      <w:hyperlink w:anchor="ref-thielASCAAPCAExtensions2017">
        <w:r>
          <w:rPr>
            <w:rStyle w:val="Hyperlink"/>
          </w:rPr>
          <w:t>12</w:t>
        </w:r>
      </w:hyperlink>
      <w:r>
        <w:t>)) and PLS ((</w:t>
      </w:r>
      <w:hyperlink w:anchor="ref-woldCollinearityProblemLinear1984">
        <w:r>
          <w:rPr>
            <w:rStyle w:val="Hyperlink"/>
          </w:rPr>
          <w:t>9</w:t>
        </w:r>
      </w:hyperlink>
      <w:r>
        <w:t>)) are all affected by dominant between-group variance, which is a common occurrence in experimental data, exemplified here by the dataset from (</w:t>
      </w:r>
      <w:hyperlink w:anchor="Xc2b17888754b4d684e1893820af32b0e8e89a94">
        <w:r>
          <w:rPr>
            <w:rStyle w:val="Hyperlink"/>
          </w:rPr>
          <w:t>5</w:t>
        </w:r>
      </w:hyperlink>
      <w:r>
        <w:t>) but discussed elsewhere ((</w:t>
      </w:r>
      <w:hyperlink w:anchor="Xcc71cd2df4032d63494e28c6a7921129da1c090">
        <w:r>
          <w:rPr>
            <w:rStyle w:val="Hyperlink"/>
          </w:rPr>
          <w:t>25</w:t>
        </w:r>
      </w:hyperlink>
      <w:r>
        <w:t>), (</w:t>
      </w:r>
      <w:hyperlink w:anchor="ref-zhaoWeightedGeneCoexpression2010">
        <w:r>
          <w:rPr>
            <w:rStyle w:val="Hyperlink"/>
          </w:rPr>
          <w:t>26</w:t>
        </w:r>
      </w:hyperlink>
      <w:r>
        <w:t>), (</w:t>
      </w:r>
      <w:hyperlink w:anchor="X3e57ed0fe141b4b17e403de16a66af40da9b626">
        <w:r>
          <w:rPr>
            <w:rStyle w:val="Hyperlink"/>
          </w:rPr>
          <w:t>27</w:t>
        </w:r>
      </w:hyperlink>
      <w:r>
        <w:t>)).</w:t>
      </w:r>
    </w:p>
    <w:p w14:paraId="49F6FF53" w14:textId="77777777" w:rsidR="00AB27A8" w:rsidRDefault="00000000">
      <w:pPr>
        <w:pStyle w:val="BodyText"/>
      </w:pPr>
      <w:r>
        <w:lastRenderedPageBreak/>
        <w:t>The feature selection stage of MASCARA uses an average vector constructed from the loadings of the baits onto which to project the loadings of other genes, which is similar to target projection in (</w:t>
      </w:r>
      <w:hyperlink w:anchor="Xf6b94e0f73326edb35ae19b864793f61a792cea">
        <w:r>
          <w:rPr>
            <w:rStyle w:val="Hyperlink"/>
          </w:rPr>
          <w:t>21</w:t>
        </w:r>
      </w:hyperlink>
      <w:r>
        <w:t>) 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hyperlink w:anchor="ref-rajalahtiBiomarkerDiscoveryMass2009">
        <w:r>
          <w:rPr>
            <w:rStyle w:val="Hyperlink"/>
          </w:rPr>
          <w:t>28</w:t>
        </w:r>
      </w:hyperlink>
      <w:r>
        <w:t xml:space="preserve">)), however these methods focus on the importance of variables in the construction of the model rather than a directional association with the response block as with the </w:t>
      </w:r>
      <m:oMath>
        <m:acc>
          <m:accPr>
            <m:chr m:val="‾"/>
            <m:ctrlPr>
              <w:rPr>
                <w:rFonts w:ascii="Cambria Math" w:hAnsi="Cambria Math"/>
              </w:rPr>
            </m:ctrlPr>
          </m:accPr>
          <m:e>
            <m:r>
              <m:rPr>
                <m:sty m:val="b"/>
              </m:rPr>
              <w:rPr>
                <w:rFonts w:ascii="Cambria Math" w:hAnsi="Cambria Math"/>
              </w:rPr>
              <m:t>q</m:t>
            </m:r>
          </m:e>
        </m:acc>
      </m:oMath>
      <w:r>
        <w:t xml:space="preserve"> target projection stage. With this averaged target projection approach, as an extension of Kvalheim’s target projection in PLS1 models,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14:paraId="23ADF456" w14:textId="77777777" w:rsidR="00AB27A8" w:rsidRDefault="00000000">
      <w:pPr>
        <w:pStyle w:val="BodyText"/>
      </w:pPr>
      <w:r>
        <w:t>Our analysis framework does not consider different correlation structures within the residual variance, this could be an issue especially in the cases similar to (</w:t>
      </w:r>
      <w:hyperlink w:anchor="Xe7babcb509b3ef554dc77224d7bc0c8531e51b3">
        <w:r>
          <w:rPr>
            <w:rStyle w:val="Hyperlink"/>
          </w:rPr>
          <w:t>29</w:t>
        </w:r>
      </w:hyperlink>
      <w:r>
        <w:t>) where different combinations of experimental factors show differential within-group correlation structure. With MASCARA these will not be preferentially detected, as the focus is on detecting postively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14:paraId="63835145" w14:textId="77777777" w:rsidR="00AB27A8" w:rsidRDefault="00000000">
      <w:pPr>
        <w:pStyle w:val="BodyText"/>
      </w:pPr>
      <w:r>
        <w:t>In coexpression analysis, there is no need for class balance, it is in fact better to have more data points in the class where the pathway is induced (P- in the example dataset). When the mechanism of interest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14:paraId="3FD1AF97" w14:textId="77777777" w:rsidR="00AB27A8" w:rsidRDefault="00000000">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w:t>
      </w:r>
      <w:r>
        <w:lastRenderedPageBreak/>
        <w:t>relationships has not been tested within the current simulations. Our approach was based off the structure of the Haider RNAseq dataset,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14:paraId="6A4A006E" w14:textId="77777777" w:rsidR="00AB27A8" w:rsidRDefault="00000000">
      <w:pPr>
        <w:pStyle w:val="BodyText"/>
      </w:pPr>
      <w:r>
        <w:t>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p w14:paraId="33FF6E3A" w14:textId="77777777" w:rsidR="00AB27A8" w:rsidRDefault="00000000">
      <w:pPr>
        <w:pStyle w:val="Heading1"/>
      </w:pPr>
      <w:bookmarkStart w:id="27" w:name="acknowledgements"/>
      <w:bookmarkEnd w:id="26"/>
      <w:r>
        <w:t>Acknowledgements</w:t>
      </w:r>
    </w:p>
    <w:p w14:paraId="693480FB" w14:textId="77777777" w:rsidR="00AB27A8" w:rsidRDefault="00000000">
      <w:pPr>
        <w:pStyle w:val="FirstParagraph"/>
      </w:pPr>
      <w:r>
        <w:t>We acknowledge funding by the Dutch Research Council (NWO/OCW) for the MiCRop Consortium program, Harnessing the second genome of plants (Grant number 024.004.014; to HB, LD, AKS, JAW), the Dutch Research Council (NWO-TTW grant 16873 Holland Innovative Potato; to HB and LD) and the Data Science Centre of the University of Amsterdam (to FW). FW would like to thank Frans van der Kloet, Fentaw Abegaz, Roel van der Ploeg for statistical discussions and Imran Haider for consultation on the strigolactone pathway.</w:t>
      </w:r>
    </w:p>
    <w:p w14:paraId="1E451C30" w14:textId="77777777" w:rsidR="00AB27A8" w:rsidRDefault="00000000">
      <w:pPr>
        <w:pStyle w:val="Heading1"/>
      </w:pPr>
      <w:bookmarkStart w:id="28" w:name="references"/>
      <w:bookmarkEnd w:id="27"/>
      <w:r>
        <w:t>References</w:t>
      </w:r>
    </w:p>
    <w:p w14:paraId="5C5732B4" w14:textId="77777777" w:rsidR="00AB27A8" w:rsidRDefault="00000000">
      <w:pPr>
        <w:pStyle w:val="Bibliography"/>
      </w:pPr>
      <w:bookmarkStart w:id="29" w:name="X6fa5e42e8bb074aaef1f9066b87c01d4c455181"/>
      <w:bookmarkStart w:id="30" w:name="refs"/>
      <w:r>
        <w:t xml:space="preserve">1. </w:t>
      </w:r>
      <w:r>
        <w:tab/>
        <w:t xml:space="preserve">Anders S, Huber W. Differential expression analysis for sequence count data. Nat Prec [Internet]. 2010 Mar 15 [cited 2023 Apr 25];1–1. Available from: </w:t>
      </w:r>
      <w:hyperlink r:id="rId18">
        <w:r>
          <w:rPr>
            <w:rStyle w:val="Hyperlink"/>
          </w:rPr>
          <w:t>https://www.nature.com/articles/npre.2010.4282.1</w:t>
        </w:r>
      </w:hyperlink>
    </w:p>
    <w:p w14:paraId="1841185B" w14:textId="77777777" w:rsidR="00AB27A8" w:rsidRDefault="00000000">
      <w:pPr>
        <w:pStyle w:val="Bibliography"/>
      </w:pPr>
      <w:bookmarkStart w:id="31" w:name="ref-robinsonEdgeRBioconductorPackage2010"/>
      <w:bookmarkEnd w:id="29"/>
      <w:r>
        <w:t xml:space="preserve">2. </w:t>
      </w:r>
      <w:r>
        <w:tab/>
        <w:t xml:space="preserve">Robinson MD, McCarthy DJ, Smyth GK. edgeR: a Bioconductor package for differential expression analysis of digital gene expression data. Bioinformatics [Internet]. 2010 Jan 1 [cited 2023 Sep 14];26(1):139–40. Available from: </w:t>
      </w:r>
      <w:hyperlink r:id="rId19">
        <w:r>
          <w:rPr>
            <w:rStyle w:val="Hyperlink"/>
          </w:rPr>
          <w:t>https://doi.org/10.1093/bioinformatics/btp616</w:t>
        </w:r>
      </w:hyperlink>
    </w:p>
    <w:p w14:paraId="1450234B" w14:textId="77777777" w:rsidR="00AB27A8" w:rsidRDefault="00000000">
      <w:pPr>
        <w:pStyle w:val="Bibliography"/>
      </w:pPr>
      <w:bookmarkStart w:id="32" w:name="ref-langfelderWGCNAPackageWeighted2008"/>
      <w:bookmarkEnd w:id="31"/>
      <w:r>
        <w:t xml:space="preserve">3. </w:t>
      </w:r>
      <w:r>
        <w:tab/>
        <w:t xml:space="preserve">Langfelder P, Horvath S. WGCNA: an R package for weighted correlation network analysis. BMC Bioinformatics [Internet]. 2008 Dec 29 [cited 2023 Sep 14];9(1):559. Available from: </w:t>
      </w:r>
      <w:hyperlink r:id="rId20">
        <w:r>
          <w:rPr>
            <w:rStyle w:val="Hyperlink"/>
          </w:rPr>
          <w:t>https://doi.org/10.1186/1471-2105-9-559</w:t>
        </w:r>
      </w:hyperlink>
    </w:p>
    <w:p w14:paraId="6166AB9E" w14:textId="77777777" w:rsidR="00AB27A8" w:rsidRDefault="00000000">
      <w:pPr>
        <w:pStyle w:val="Bibliography"/>
      </w:pPr>
      <w:bookmarkStart w:id="33" w:name="X50bc0c3b60103ad8bb1cb40c349e8e66acca303"/>
      <w:bookmarkEnd w:id="32"/>
      <w:r>
        <w:t xml:space="preserve">4. </w:t>
      </w:r>
      <w:r>
        <w:tab/>
        <w:t xml:space="preserve">Tzfadia O, Diels T, De Meyer S, Vandepoele K, Aharoni A, Van de Peer Y. CoExpNetViz: Comparative Co-Expression Networks Construction and Visualization Tool. Frontiers in Plant Science [Internet]. 2016 [cited 2023 Sep 14];6. Available from: </w:t>
      </w:r>
      <w:hyperlink r:id="rId21">
        <w:r>
          <w:rPr>
            <w:rStyle w:val="Hyperlink"/>
          </w:rPr>
          <w:t>https://www.frontiersin.org/articles/10.3389/fpls.2015.01194</w:t>
        </w:r>
      </w:hyperlink>
    </w:p>
    <w:p w14:paraId="3AD2AF28" w14:textId="77777777" w:rsidR="00AB27A8" w:rsidRDefault="00000000">
      <w:pPr>
        <w:pStyle w:val="Bibliography"/>
      </w:pPr>
      <w:bookmarkStart w:id="34" w:name="Xc2b17888754b4d684e1893820af32b0e8e89a94"/>
      <w:bookmarkEnd w:id="33"/>
      <w:r>
        <w:t xml:space="preserve">5. </w:t>
      </w:r>
      <w:r>
        <w:tab/>
        <w:t xml:space="preserve">Haider I, Yunmeng Z, White F, Li C, Incitti R, Alam I, et al. Transcriptome analysis of the phosphate starvation response sheds light on strigolactone biosynthesis in rice. The </w:t>
      </w:r>
      <w:r>
        <w:lastRenderedPageBreak/>
        <w:t xml:space="preserve">Plant Journal [Internet]. 2023 [cited 2023 Apr 25];114(2):355–70. Available from: </w:t>
      </w:r>
      <w:hyperlink r:id="rId22">
        <w:r>
          <w:rPr>
            <w:rStyle w:val="Hyperlink"/>
          </w:rPr>
          <w:t>https://onlinelibrary.wiley.com/doi/abs/10.1111/tpj.16140</w:t>
        </w:r>
      </w:hyperlink>
    </w:p>
    <w:p w14:paraId="3F965471" w14:textId="77777777" w:rsidR="00AB27A8" w:rsidRDefault="00000000">
      <w:pPr>
        <w:pStyle w:val="Bibliography"/>
      </w:pPr>
      <w:bookmarkStart w:id="35" w:name="ref-wangRoleStrigolactonesDeficiency2021"/>
      <w:bookmarkEnd w:id="34"/>
      <w:r w:rsidRPr="00251FD4">
        <w:rPr>
          <w:lang w:val="nl-NL"/>
        </w:rPr>
        <w:t xml:space="preserve">6. </w:t>
      </w:r>
      <w:r w:rsidRPr="00251FD4">
        <w:rPr>
          <w:lang w:val="nl-NL"/>
        </w:rPr>
        <w:tab/>
        <w:t xml:space="preserve">Wang Y, Duran HGS, van Haarst JC, Schijlen EGWM, Ruyter-Spira C, Medema MH, et al. </w:t>
      </w:r>
      <w:r>
        <w:t xml:space="preserve">The role of </w:t>
      </w:r>
      <w:proofErr w:type="spellStart"/>
      <w:r>
        <w:t>strigolactones</w:t>
      </w:r>
      <w:proofErr w:type="spellEnd"/>
      <w:r>
        <w:t xml:space="preserve"> in P deficiency induced transcriptional changes in tomato roots. BMC Plant Biol [Internet]. 2021 Jul 23 [cited 2023 Sep 18];21(1):349. Available from: </w:t>
      </w:r>
      <w:hyperlink r:id="rId23">
        <w:r>
          <w:rPr>
            <w:rStyle w:val="Hyperlink"/>
          </w:rPr>
          <w:t>https://doi.org/10.1186/s12870-021-03124-0</w:t>
        </w:r>
      </w:hyperlink>
    </w:p>
    <w:p w14:paraId="053254C3" w14:textId="77777777" w:rsidR="00AB27A8" w:rsidRDefault="00000000">
      <w:pPr>
        <w:pStyle w:val="Bibliography"/>
      </w:pPr>
      <w:bookmarkStart w:id="36" w:name="ref-saccentiWhatCanGo2023"/>
      <w:bookmarkEnd w:id="35"/>
      <w:r>
        <w:t xml:space="preserve">7. </w:t>
      </w:r>
      <w:r>
        <w:tab/>
        <w:t xml:space="preserve">Saccenti E. What can go wrong when observations are not independently and identically distributed: a cautionary note on calculating correlations on combined data sets from different experiments or conditions. Frontiers in Systems Biology. 2023;3:3. </w:t>
      </w:r>
    </w:p>
    <w:p w14:paraId="76EA6AEB" w14:textId="77777777" w:rsidR="00AB27A8" w:rsidRDefault="00000000">
      <w:pPr>
        <w:pStyle w:val="Bibliography"/>
      </w:pPr>
      <w:bookmarkStart w:id="37" w:name="Xd0e6c30a697db42abb2065af1a17da6eb418ea3"/>
      <w:bookmarkEnd w:id="36"/>
      <w:r>
        <w:t xml:space="preserve">8. </w:t>
      </w:r>
      <w:r>
        <w:tab/>
        <w:t xml:space="preserve">Geladi P, Kowalski BR. Partial least-squares regression: a tutorial. Analytica Chimica Acta [Internet]. 1986 Jan 1 [cited 2023 Apr 25];185:1–17. Available from: </w:t>
      </w:r>
      <w:hyperlink r:id="rId24">
        <w:r>
          <w:rPr>
            <w:rStyle w:val="Hyperlink"/>
          </w:rPr>
          <w:t>https://www.sciencedirect.com/science/article/pii/0003267086800289</w:t>
        </w:r>
      </w:hyperlink>
    </w:p>
    <w:p w14:paraId="1A14AE69" w14:textId="77777777" w:rsidR="00AB27A8" w:rsidRDefault="00000000">
      <w:pPr>
        <w:pStyle w:val="Bibliography"/>
      </w:pPr>
      <w:bookmarkStart w:id="38" w:name="ref-woldCollinearityProblemLinear1984"/>
      <w:bookmarkEnd w:id="37"/>
      <w:r>
        <w:t xml:space="preserve">9. </w:t>
      </w:r>
      <w:r>
        <w:tab/>
        <w:t xml:space="preserve">Wold S, Ruhe A, Wold H, Dunn, III WJ. The Collinearity Problem in Linear Regression. The Partial Least Squares (PLS) Approach to Generalized Inverses. SIAM J Sci and Stat Comput [Internet]. 1984 Sep [cited 2023 Apr 25];5(3):735–43. Available from: </w:t>
      </w:r>
      <w:hyperlink r:id="rId25">
        <w:r>
          <w:rPr>
            <w:rStyle w:val="Hyperlink"/>
          </w:rPr>
          <w:t>https://epubs.siam.org/doi/abs/10.1137/0905052</w:t>
        </w:r>
      </w:hyperlink>
    </w:p>
    <w:p w14:paraId="2673C17F" w14:textId="77777777" w:rsidR="00AB27A8" w:rsidRPr="00251FD4" w:rsidRDefault="00000000">
      <w:pPr>
        <w:pStyle w:val="Bibliography"/>
        <w:rPr>
          <w:lang w:val="nl-NL"/>
        </w:rPr>
      </w:pPr>
      <w:bookmarkStart w:id="39" w:name="ref-searleLinearModels1971"/>
      <w:bookmarkEnd w:id="38"/>
      <w:r>
        <w:t xml:space="preserve">10. </w:t>
      </w:r>
      <w:r>
        <w:tab/>
        <w:t xml:space="preserve">Searle SR. Linear Models. John Wiley &amp; Sons; 1971. </w:t>
      </w:r>
      <w:r w:rsidRPr="00251FD4">
        <w:rPr>
          <w:lang w:val="nl-NL"/>
        </w:rPr>
        <w:t xml:space="preserve">565 p. </w:t>
      </w:r>
    </w:p>
    <w:p w14:paraId="41D2E653" w14:textId="77777777" w:rsidR="00AB27A8" w:rsidRDefault="00000000">
      <w:pPr>
        <w:pStyle w:val="Bibliography"/>
      </w:pPr>
      <w:bookmarkStart w:id="40" w:name="Xaca7e11f7e5f0a0465524ca94b5740f80e57dcd"/>
      <w:bookmarkEnd w:id="39"/>
      <w:r w:rsidRPr="00251FD4">
        <w:rPr>
          <w:lang w:val="nl-NL"/>
        </w:rPr>
        <w:t xml:space="preserve">11. </w:t>
      </w:r>
      <w:r w:rsidRPr="00251FD4">
        <w:rPr>
          <w:lang w:val="nl-NL"/>
        </w:rPr>
        <w:tab/>
        <w:t xml:space="preserve">Smilde AK, Jansen JJ, Hoefsloot HCJ, Lamers RJAN, van der Greef J, Timmerman ME. </w:t>
      </w:r>
      <w:r>
        <w:t xml:space="preserve">ANOVA-simultaneous component analysis (ASCA): a new tool for analyzing designed metabolomics data. Bioinformatics [Internet]. 2005 Jul 1 [cited 2023 Apr 25];21(13):3043–8. Available from: </w:t>
      </w:r>
      <w:hyperlink r:id="rId26">
        <w:r>
          <w:rPr>
            <w:rStyle w:val="Hyperlink"/>
          </w:rPr>
          <w:t>https://doi.org/10.1093/bioinformatics/bti476</w:t>
        </w:r>
      </w:hyperlink>
    </w:p>
    <w:p w14:paraId="52DAD90A" w14:textId="77777777" w:rsidR="00AB27A8" w:rsidRDefault="00000000">
      <w:pPr>
        <w:pStyle w:val="Bibliography"/>
      </w:pPr>
      <w:bookmarkStart w:id="41" w:name="ref-thielASCAAPCAExtensions2017"/>
      <w:bookmarkEnd w:id="40"/>
      <w:r>
        <w:t xml:space="preserve">12. </w:t>
      </w:r>
      <w:r>
        <w:tab/>
        <w:t xml:space="preserve">Thiel M, Féraud B, Govaerts B. ASCA+ and APCA+: Extensions of ASCA and APCA in the analysis of unbalanced multifactorial designs. Journal of Chemometrics [Internet]. 2017 [cited 2023 Apr 25];31(6):e2895. Available from: </w:t>
      </w:r>
      <w:hyperlink r:id="rId27">
        <w:r>
          <w:rPr>
            <w:rStyle w:val="Hyperlink"/>
          </w:rPr>
          <w:t>https://onlinelibrary.wiley.com/doi/abs/10.1002/cem.2895</w:t>
        </w:r>
      </w:hyperlink>
    </w:p>
    <w:p w14:paraId="30C53B23" w14:textId="77777777" w:rsidR="00AB27A8" w:rsidRDefault="00000000">
      <w:pPr>
        <w:pStyle w:val="Bibliography"/>
      </w:pPr>
      <w:bookmarkStart w:id="42" w:name="ref-augerGeneCoexpressionNetwork2022"/>
      <w:bookmarkEnd w:id="41"/>
      <w:r>
        <w:t xml:space="preserve">13. </w:t>
      </w:r>
      <w:r>
        <w:tab/>
        <w:t xml:space="preserve">Auger S, Mournetas V, Chiapello H, Loux V, Langella P, Chatel JM. Gene co-expression network analysis of the human gut commensal bacterium Faecalibacterium prausnitzii in R-Shiny. PLOS ONE [Internet]. 2022 Nov 18 [cited 2023 Jul 25];17(11):e0271847. Available from: </w:t>
      </w:r>
      <w:hyperlink r:id="rId28">
        <w:r>
          <w:rPr>
            <w:rStyle w:val="Hyperlink"/>
          </w:rPr>
          <w:t>https://journals.plos.org/plosone/article?id=10.1371/journal.pone.0271847</w:t>
        </w:r>
      </w:hyperlink>
    </w:p>
    <w:p w14:paraId="197A73C7" w14:textId="77777777" w:rsidR="00AB27A8" w:rsidRDefault="00000000">
      <w:pPr>
        <w:pStyle w:val="Bibliography"/>
      </w:pPr>
      <w:bookmarkStart w:id="43" w:name="ref-renRNABindingProteins2023"/>
      <w:bookmarkEnd w:id="42"/>
      <w:r>
        <w:t xml:space="preserve">14. </w:t>
      </w:r>
      <w:r>
        <w:tab/>
        <w:t xml:space="preserve">Ren F, Zhou Q, Meng Y, Guo W, Tang Q, Mei J. RNA binding proteins are potential novel biomarkers of egg quality in yellow catfish. BMC Genomics [Internet]. 2023 Mar 16 [cited 2023 Jul 25];24(1):121. Available from: </w:t>
      </w:r>
      <w:hyperlink r:id="rId29">
        <w:r>
          <w:rPr>
            <w:rStyle w:val="Hyperlink"/>
          </w:rPr>
          <w:t>https://doi.org/10.1186/s12864-023-09220-9</w:t>
        </w:r>
      </w:hyperlink>
    </w:p>
    <w:p w14:paraId="09B84667" w14:textId="77777777" w:rsidR="00AB27A8" w:rsidRDefault="00000000">
      <w:pPr>
        <w:pStyle w:val="Bibliography"/>
      </w:pPr>
      <w:bookmarkStart w:id="44" w:name="ref-nuedaDiscoveringGeneExpression2007"/>
      <w:bookmarkEnd w:id="43"/>
      <w:r w:rsidRPr="00251FD4">
        <w:rPr>
          <w:lang w:val="nl-NL"/>
        </w:rPr>
        <w:t xml:space="preserve">15. </w:t>
      </w:r>
      <w:r w:rsidRPr="00251FD4">
        <w:rPr>
          <w:lang w:val="nl-NL"/>
        </w:rPr>
        <w:tab/>
        <w:t xml:space="preserve">Nueda MJ, Conesa A, Westerhuis JA, Hoefsloot HCJ, Smilde AK, Talón M, et al. </w:t>
      </w:r>
      <w:r>
        <w:t xml:space="preserve">Discovering gene expression patterns in time course microarray experiments by ANOVA–SCA. Bioinformatics [Internet]. 2007 Jul 15 [cited 2023 Jul 25];23(14):1792–800. Available from: </w:t>
      </w:r>
      <w:hyperlink r:id="rId30">
        <w:r>
          <w:rPr>
            <w:rStyle w:val="Hyperlink"/>
          </w:rPr>
          <w:t>https://doi.org/10.1093/bioinformatics/btm251</w:t>
        </w:r>
      </w:hyperlink>
    </w:p>
    <w:p w14:paraId="7D719E3A" w14:textId="77777777" w:rsidR="00AB27A8" w:rsidRDefault="00000000">
      <w:pPr>
        <w:pStyle w:val="Bibliography"/>
      </w:pPr>
      <w:bookmarkStart w:id="45" w:name="ref-jarmundALASCAPackageLongitudinal2022"/>
      <w:bookmarkEnd w:id="44"/>
      <w:r>
        <w:lastRenderedPageBreak/>
        <w:t xml:space="preserve">16. </w:t>
      </w:r>
      <w:r>
        <w:tab/>
        <w:t xml:space="preserve">Jarmund AH, Madssen TS, Giskeødegård GF. ALASCA: An R package for longitudinal and cross-sectional analysis of multivariate data by ASCA-based methods. Frontiers in Molecular Biosciences [Internet]. 2022 [cited 2023 Jul 25];9. Available from: </w:t>
      </w:r>
      <w:hyperlink r:id="rId31">
        <w:r>
          <w:rPr>
            <w:rStyle w:val="Hyperlink"/>
          </w:rPr>
          <w:t>https://www.frontiersin.org/articles/10.3389/fmolb.2022.962431</w:t>
        </w:r>
      </w:hyperlink>
    </w:p>
    <w:p w14:paraId="0AD01BD9" w14:textId="77777777" w:rsidR="00AB27A8" w:rsidRDefault="00000000">
      <w:pPr>
        <w:pStyle w:val="Bibliography"/>
      </w:pPr>
      <w:bookmarkStart w:id="46" w:name="ref-guanSRGSSparsePartial2022"/>
      <w:bookmarkEnd w:id="45"/>
      <w:r>
        <w:t xml:space="preserve">17. </w:t>
      </w:r>
      <w:r>
        <w:tab/>
        <w:t xml:space="preserve">Guan J, Wang Y, Wang Y, Zhuang Y, Ji G. SRGS: sparse partial least squares-based recursive gene selection for gene regulatory network inference. BMC Genomics [Internet]. 2022 Nov 30 [cited 2023 Jul 25];23(1):782. Available from: </w:t>
      </w:r>
      <w:hyperlink r:id="rId32">
        <w:r>
          <w:rPr>
            <w:rStyle w:val="Hyperlink"/>
          </w:rPr>
          <w:t>https://doi.org/10.1186/s12864-022-09020-7</w:t>
        </w:r>
      </w:hyperlink>
    </w:p>
    <w:p w14:paraId="6CC90236" w14:textId="77777777" w:rsidR="00AB27A8" w:rsidRDefault="00000000">
      <w:pPr>
        <w:pStyle w:val="Bibliography"/>
      </w:pPr>
      <w:bookmarkStart w:id="47" w:name="ref-nuedaFunctionalAssessmentTime2009"/>
      <w:bookmarkEnd w:id="46"/>
      <w:r>
        <w:t xml:space="preserve">18. </w:t>
      </w:r>
      <w:r>
        <w:tab/>
        <w:t xml:space="preserve">Nueda MJ, Sebastián P, Tarazona S, García-García F, Dopazo J, Ferrer A, et al. Functional assessment of time course microarray data. BMC Bioinformatics [Internet]. 2009 Jun 16 [cited 2023 Jul 25];10(Suppl 6):S9. Available from: </w:t>
      </w:r>
      <w:hyperlink r:id="rId33">
        <w:r>
          <w:rPr>
            <w:rStyle w:val="Hyperlink"/>
          </w:rPr>
          <w:t>https://www.ncbi.nlm.nih.gov/pmc/articles/PMC2697656/</w:t>
        </w:r>
      </w:hyperlink>
    </w:p>
    <w:p w14:paraId="7666BC2A" w14:textId="77777777" w:rsidR="00AB27A8" w:rsidRDefault="00000000">
      <w:pPr>
        <w:pStyle w:val="Bibliography"/>
      </w:pPr>
      <w:bookmarkStart w:id="48" w:name="ref-thissenImprovingAnalysisDesigned2009"/>
      <w:bookmarkEnd w:id="47"/>
      <w:r w:rsidRPr="00251FD4">
        <w:rPr>
          <w:lang w:val="nl-NL"/>
        </w:rPr>
        <w:t xml:space="preserve">19. </w:t>
      </w:r>
      <w:r w:rsidRPr="00251FD4">
        <w:rPr>
          <w:lang w:val="nl-NL"/>
        </w:rPr>
        <w:tab/>
        <w:t xml:space="preserve">Thissen U, Wopereis S, van den Berg SA, Bobeldijk I, Kleemann R, Kooistra T, et al. </w:t>
      </w:r>
      <w:r>
        <w:t xml:space="preserve">Improving the analysis of designed studies by combining statistical modelling with study design information. BMC Bioinformatics [Internet]. 2009 Feb 7 [cited 2023 Dec 4];10(1):52. Available from: </w:t>
      </w:r>
      <w:hyperlink r:id="rId34">
        <w:r>
          <w:rPr>
            <w:rStyle w:val="Hyperlink"/>
          </w:rPr>
          <w:t>https://doi.org/10.1186/1471-2105-10-52</w:t>
        </w:r>
      </w:hyperlink>
    </w:p>
    <w:p w14:paraId="5E4D7C7C" w14:textId="77777777" w:rsidR="00AB27A8" w:rsidRDefault="00000000">
      <w:pPr>
        <w:pStyle w:val="Bibliography"/>
      </w:pPr>
      <w:bookmarkStart w:id="49" w:name="ref-dejongSIMPLSAlternativeApproach1993"/>
      <w:bookmarkEnd w:id="48"/>
      <w:r>
        <w:t xml:space="preserve">20. </w:t>
      </w:r>
      <w:r>
        <w:tab/>
        <w:t xml:space="preserve">de Jong S. SIMPLS: An alternative approach to partial least squares regression. Chemometrics and Intelligent Laboratory Systems [Internet]. 1993 Mar 1 [cited 2023 Dec 8];18(3):251–63. Available from: </w:t>
      </w:r>
      <w:hyperlink r:id="rId35">
        <w:r>
          <w:rPr>
            <w:rStyle w:val="Hyperlink"/>
          </w:rPr>
          <w:t>https://www.sciencedirect.com/science/article/pii/016974399385002X</w:t>
        </w:r>
      </w:hyperlink>
    </w:p>
    <w:p w14:paraId="5DAD8A2B" w14:textId="77777777" w:rsidR="00AB27A8" w:rsidRDefault="00000000">
      <w:pPr>
        <w:pStyle w:val="Bibliography"/>
      </w:pPr>
      <w:bookmarkStart w:id="50" w:name="Xf6b94e0f73326edb35ae19b864793f61a792cea"/>
      <w:bookmarkEnd w:id="49"/>
      <w:r>
        <w:t xml:space="preserve">21. </w:t>
      </w:r>
      <w:r>
        <w:tab/>
        <w:t xml:space="preserve">Kvalheim OM. Interpretation of partial least squares regression models by means of target projection and selectivity ratio plots. Journal of Chemometrics [Internet]. 2010 [cited 2023 Jul 26];24(7-8):496–504. Available from: </w:t>
      </w:r>
      <w:hyperlink r:id="rId36">
        <w:r>
          <w:rPr>
            <w:rStyle w:val="Hyperlink"/>
          </w:rPr>
          <w:t>https://onlinelibrary.wiley.com/doi/abs/10.1002/cem.1289</w:t>
        </w:r>
      </w:hyperlink>
    </w:p>
    <w:p w14:paraId="659A8DC1" w14:textId="77777777" w:rsidR="00AB27A8" w:rsidRDefault="00000000">
      <w:pPr>
        <w:pStyle w:val="Bibliography"/>
      </w:pPr>
      <w:bookmarkStart w:id="51" w:name="Xbd25994ee0f44976988919f4c291e7808fe56a3"/>
      <w:bookmarkEnd w:id="50"/>
      <w:r>
        <w:t xml:space="preserve">22. </w:t>
      </w:r>
      <w:r>
        <w:tab/>
        <w:t xml:space="preserve">Ito S, Yamagami D, Umehara M, Hanada A, Yoshida S, Sasaki Y, et al. </w:t>
      </w:r>
      <w:hyperlink r:id="rId37">
        <w:r>
          <w:rPr>
            <w:rStyle w:val="Hyperlink"/>
          </w:rPr>
          <w:t>Regulation of Strigolactone Biosynthesis by Gibberellin Signaling</w:t>
        </w:r>
      </w:hyperlink>
      <w:r>
        <w:t xml:space="preserve">. Plant Physiol. 2017 Jun;174(2):1250–9. </w:t>
      </w:r>
    </w:p>
    <w:p w14:paraId="753D01CC" w14:textId="77777777" w:rsidR="00AB27A8" w:rsidRDefault="00000000">
      <w:pPr>
        <w:pStyle w:val="Bibliography"/>
      </w:pPr>
      <w:bookmarkStart w:id="52" w:name="Xea043edabf8aaad9d19b1e892525d9fffe3a696"/>
      <w:bookmarkEnd w:id="51"/>
      <w:r>
        <w:t xml:space="preserve">23. </w:t>
      </w:r>
      <w:r>
        <w:tab/>
        <w:t xml:space="preserve">Marzec M. Strigolactones and Gibberellins: A New Couple in the Phytohormone World? Trends in Plant Science [Internet]. 2017 Oct 1 [cited 2023 Jun 28];22(10):813–5. Available from: </w:t>
      </w:r>
      <w:hyperlink r:id="rId38">
        <w:r>
          <w:rPr>
            <w:rStyle w:val="Hyperlink"/>
          </w:rPr>
          <w:t>https://www.sciencedirect.com/science/article/pii/S1360138517301747</w:t>
        </w:r>
      </w:hyperlink>
    </w:p>
    <w:p w14:paraId="407AE366" w14:textId="77777777" w:rsidR="00AB27A8" w:rsidRDefault="00000000">
      <w:pPr>
        <w:pStyle w:val="Bibliography"/>
      </w:pPr>
      <w:bookmarkStart w:id="53" w:name="X2e16474dbff84e9966c63a78f86e923d201544c"/>
      <w:bookmarkEnd w:id="52"/>
      <w:r w:rsidRPr="00251FD4">
        <w:rPr>
          <w:lang w:val="nl-NL"/>
        </w:rPr>
        <w:t xml:space="preserve">24. </w:t>
      </w:r>
      <w:r w:rsidRPr="00251FD4">
        <w:rPr>
          <w:lang w:val="nl-NL"/>
        </w:rPr>
        <w:tab/>
        <w:t xml:space="preserve">Sun H, Guo X, Zhu X, Gu P, Zhang W, Tao W, et al. </w:t>
      </w:r>
      <w:r>
        <w:fldChar w:fldCharType="begin"/>
      </w:r>
      <w:r w:rsidRPr="00251FD4">
        <w:rPr>
          <w:lang w:val="nl-NL"/>
        </w:rPr>
        <w:instrText>HYPERLINK "https://doi.org/10.1016/j.molp.2023.01.009" \h</w:instrText>
      </w:r>
      <w:r>
        <w:fldChar w:fldCharType="separate"/>
      </w:r>
      <w:proofErr w:type="spellStart"/>
      <w:r>
        <w:rPr>
          <w:rStyle w:val="Hyperlink"/>
        </w:rPr>
        <w:t>Strigolactone</w:t>
      </w:r>
      <w:proofErr w:type="spellEnd"/>
      <w:r>
        <w:rPr>
          <w:rStyle w:val="Hyperlink"/>
        </w:rPr>
        <w:t xml:space="preserve"> and gibberellin signaling coordinately regulate metabolic adaptations to changes in nitrogen availability in rice</w:t>
      </w:r>
      <w:r>
        <w:rPr>
          <w:rStyle w:val="Hyperlink"/>
        </w:rPr>
        <w:fldChar w:fldCharType="end"/>
      </w:r>
      <w:r>
        <w:t xml:space="preserve">. Mol Plant. 2023 Mar 6;16(3):588–98. </w:t>
      </w:r>
    </w:p>
    <w:p w14:paraId="4572964C" w14:textId="77777777" w:rsidR="00AB27A8" w:rsidRDefault="00000000">
      <w:pPr>
        <w:pStyle w:val="Bibliography"/>
      </w:pPr>
      <w:bookmarkStart w:id="54" w:name="Xcc71cd2df4032d63494e28c6a7921129da1c090"/>
      <w:bookmarkEnd w:id="53"/>
      <w:r>
        <w:t xml:space="preserve">25. </w:t>
      </w:r>
      <w:r>
        <w:tab/>
        <w:t xml:space="preserve">Farahbod M, Pavlidis P. Untangling the effects of cellular composition on coexpression analysis. Genome Res [Internet]. 2020 Jun 1 [cited 2023 Jul 12];30(6):849–59. Available from: </w:t>
      </w:r>
      <w:hyperlink r:id="rId39">
        <w:r>
          <w:rPr>
            <w:rStyle w:val="Hyperlink"/>
          </w:rPr>
          <w:t>https://genome.cshlp.org/content/30/6/849</w:t>
        </w:r>
      </w:hyperlink>
    </w:p>
    <w:p w14:paraId="57FCBE12" w14:textId="77777777" w:rsidR="00AB27A8" w:rsidRDefault="00000000">
      <w:pPr>
        <w:pStyle w:val="Bibliography"/>
      </w:pPr>
      <w:bookmarkStart w:id="55" w:name="ref-zhaoWeightedGeneCoexpression2010"/>
      <w:bookmarkEnd w:id="54"/>
      <w:r>
        <w:t xml:space="preserve">26. </w:t>
      </w:r>
      <w:r>
        <w:tab/>
        <w:t xml:space="preserve">Zhao W, Langfelder P, Fuller T, Dong J, Li A, Hovarth S. Weighted Gene Coexpression Network Analysis: State of the Art. Journal of Biopharmaceutical Statistics [Internet]. 2010 </w:t>
      </w:r>
      <w:r>
        <w:lastRenderedPageBreak/>
        <w:t xml:space="preserve">Mar 19 [cited 2023 Jul 12];20(2):281–300. Available from: </w:t>
      </w:r>
      <w:hyperlink r:id="rId40">
        <w:r>
          <w:rPr>
            <w:rStyle w:val="Hyperlink"/>
          </w:rPr>
          <w:t>https://doi.org/10.1080/10543400903572753</w:t>
        </w:r>
      </w:hyperlink>
    </w:p>
    <w:p w14:paraId="161497ED" w14:textId="77777777" w:rsidR="00AB27A8" w:rsidRDefault="00000000">
      <w:pPr>
        <w:pStyle w:val="Bibliography"/>
      </w:pPr>
      <w:bookmarkStart w:id="56" w:name="X3e57ed0fe141b4b17e403de16a66af40da9b626"/>
      <w:bookmarkEnd w:id="55"/>
      <w:r>
        <w:t xml:space="preserve">27. </w:t>
      </w:r>
      <w:r>
        <w:tab/>
        <w:t xml:space="preserve">Chowdhury HA, Bhattacharyya DK, Kalita JK. </w:t>
      </w:r>
      <w:hyperlink r:id="rId41">
        <w:r>
          <w:rPr>
            <w:rStyle w:val="Hyperlink"/>
          </w:rPr>
          <w:t>(Differential) Co-Expression Analysis of Gene Expression: A Survey of Best Practices</w:t>
        </w:r>
      </w:hyperlink>
      <w:r>
        <w:t xml:space="preserve">. IEEE/ACM Transactions on Computational Biology and Bioinformatics. 2020 Jul;17(4):1154–73. </w:t>
      </w:r>
    </w:p>
    <w:p w14:paraId="2F151B57" w14:textId="77777777" w:rsidR="00AB27A8" w:rsidRDefault="00000000">
      <w:pPr>
        <w:pStyle w:val="Bibliography"/>
      </w:pPr>
      <w:bookmarkStart w:id="57" w:name="ref-rajalahtiBiomarkerDiscoveryMass2009"/>
      <w:bookmarkEnd w:id="56"/>
      <w:r>
        <w:t xml:space="preserve">28. </w:t>
      </w:r>
      <w:r>
        <w:tab/>
        <w:t xml:space="preserve">Rajalahti T, Arneberg R, Berven FS, Myhr KM, Ulvik RJ, Kvalheim OM. Biomarker discovery in mass spectral profiles by means of selectivity ratio plot. Chemometrics and Intelligent Laboratory Systems [Internet]. 2009 Jan 15 [cited 2023 Oct 20];95(1):35–48. Available from: </w:t>
      </w:r>
      <w:hyperlink r:id="rId42">
        <w:r>
          <w:rPr>
            <w:rStyle w:val="Hyperlink"/>
          </w:rPr>
          <w:t>https://www.sciencedirect.com/science/article/pii/S0169743908001548</w:t>
        </w:r>
      </w:hyperlink>
    </w:p>
    <w:p w14:paraId="57C6B3F1" w14:textId="77777777" w:rsidR="00AB27A8" w:rsidRDefault="00000000">
      <w:pPr>
        <w:pStyle w:val="Bibliography"/>
      </w:pPr>
      <w:bookmarkStart w:id="58" w:name="Xe7babcb509b3ef554dc77224d7bc0c8531e51b3"/>
      <w:bookmarkEnd w:id="57"/>
      <w:r>
        <w:t xml:space="preserve">29. </w:t>
      </w:r>
      <w:r>
        <w:tab/>
        <w:t xml:space="preserve">Caldana C, Degenkolbe T, Cuadros-Inostroza A, Klie S, Sulpice R, Leisse A, et al. High-density kinetic analysis of the metabolomic and transcriptomic response of Arabidopsis to eight environmental conditions. The Plant Journal [Internet]. 2011 [cited 2023 Apr 25];67(5):869–84. Available from: </w:t>
      </w:r>
      <w:hyperlink r:id="rId43">
        <w:r>
          <w:rPr>
            <w:rStyle w:val="Hyperlink"/>
          </w:rPr>
          <w:t>https://onlinelibrary.wiley.com/doi/abs/10.1111/j.1365-313X.2011.04640.x</w:t>
        </w:r>
      </w:hyperlink>
    </w:p>
    <w:p w14:paraId="7CF20E7F" w14:textId="77777777" w:rsidR="00AB27A8" w:rsidRDefault="00000000">
      <w:pPr>
        <w:pStyle w:val="Heading1"/>
      </w:pPr>
      <w:bookmarkStart w:id="59" w:name="supplementary"/>
      <w:bookmarkEnd w:id="28"/>
      <w:bookmarkEnd w:id="30"/>
      <w:bookmarkEnd w:id="58"/>
      <w:r>
        <w:t>Supplementary</w:t>
      </w:r>
    </w:p>
    <w:p w14:paraId="6D231831" w14:textId="77777777" w:rsidR="00AB27A8" w:rsidRDefault="00000000">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is randomised 30 times resulting in different correlation structures between baits and spikes. Target projection using </w:t>
      </w:r>
      <m:oMath>
        <m:acc>
          <m:accPr>
            <m:chr m:val="‾"/>
            <m:ctrlPr>
              <w:rPr>
                <w:rFonts w:ascii="Cambria Math" w:hAnsi="Cambria Math"/>
              </w:rPr>
            </m:ctrlPr>
          </m:accPr>
          <m:e>
            <m:r>
              <m:rPr>
                <m:sty m:val="b"/>
              </m:rPr>
              <w:rPr>
                <w:rFonts w:ascii="Cambria Math" w:hAnsi="Cambria Math"/>
              </w:rPr>
              <m:t>q</m:t>
            </m:r>
          </m:e>
        </m:acc>
      </m:oMath>
      <w:r>
        <w:t xml:space="preserve"> significantly outperforms the conventional approaches.</w:t>
      </w:r>
    </w:p>
    <w:p w14:paraId="76640BF4" w14:textId="77777777" w:rsidR="00AB27A8" w:rsidRDefault="00000000">
      <w:pPr>
        <w:pStyle w:val="BodyText"/>
      </w:pPr>
      <w:r>
        <w:rPr>
          <w:noProof/>
        </w:rPr>
        <w:lastRenderedPageBreak/>
        <w:drawing>
          <wp:inline distT="0" distB="0" distL="0" distR="0" wp14:anchorId="1A4B25E7" wp14:editId="4FF9D892">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Paper_markdown_files/figure-docx/unnamed-chunk-5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772B8F17" w14:textId="77777777" w:rsidR="00AB27A8" w:rsidRDefault="00000000">
      <w:pPr>
        <w:pStyle w:val="Heading2"/>
      </w:pPr>
      <w:bookmarkStart w:id="60" w:name="ranked-correlations-1"/>
      <w:r>
        <w:t>Ranked correlations</w:t>
      </w:r>
    </w:p>
    <w:p w14:paraId="5D1D6482" w14:textId="77777777" w:rsidR="00AB27A8" w:rsidRDefault="00000000">
      <w:pPr>
        <w:pStyle w:val="FirstParagraph"/>
      </w:pPr>
      <w:r>
        <w:t>Ranked correlations are calculated as:</w:t>
      </w:r>
    </w:p>
    <w:p w14:paraId="4BA5B282" w14:textId="1E2BEFCF"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R</m:t>
                    </m:r>
                    <m:r>
                      <w:rPr>
                        <w:rFonts w:ascii="Cambria Math" w:hAnsi="Cambria Math"/>
                      </w:rPr>
                      <m:t>ank</m:t>
                    </m:r>
                  </m:e>
                  <m:sub>
                    <m:acc>
                      <m:accPr>
                        <m:chr m:val="̃"/>
                        <m:ctrlPr>
                          <w:rPr>
                            <w:rFonts w:ascii="Cambria Math" w:hAnsi="Cambria Math"/>
                          </w:rPr>
                        </m:ctrlPr>
                      </m:accPr>
                      <m:e>
                        <m:r>
                          <w:rPr>
                            <w:rFonts w:ascii="Cambria Math" w:hAnsi="Cambria Math"/>
                          </w:rPr>
                          <m:t>J</m:t>
                        </m:r>
                      </m:e>
                    </m:acc>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1</m:t>
                        </m:r>
                      </m:sub>
                      <m:sup>
                        <m:r>
                          <w:rPr>
                            <w:rFonts w:ascii="Cambria Math" w:hAnsi="Cambria Math"/>
                          </w:rPr>
                          <m:t>B</m:t>
                        </m:r>
                      </m:sup>
                      <m:e>
                        <m:sSub>
                          <m:sSubPr>
                            <m:ctrlPr>
                              <w:rPr>
                                <w:rFonts w:ascii="Cambria Math" w:hAnsi="Cambria Math"/>
                              </w:rPr>
                            </m:ctrlPr>
                          </m:sSubPr>
                          <m:e>
                            <m:r>
                              <w:rPr>
                                <w:rFonts w:ascii="Cambria Math" w:hAnsi="Cambria Math"/>
                              </w:rPr>
                              <m:t>r</m:t>
                            </m:r>
                            <m:r>
                              <w:rPr>
                                <w:rFonts w:ascii="Cambria Math" w:hAnsi="Cambria Math"/>
                              </w:rPr>
                              <m:t>ank</m:t>
                            </m:r>
                          </m:e>
                          <m:sub>
                            <m:r>
                              <w:rPr>
                                <w:rFonts w:ascii="Cambria Math" w:hAnsi="Cambria Math"/>
                              </w:rPr>
                              <m:t>b</m:t>
                            </m:r>
                            <m:acc>
                              <m:accPr>
                                <m:chr m:val="̃"/>
                                <m:ctrlPr>
                                  <w:rPr>
                                    <w:rFonts w:ascii="Cambria Math" w:hAnsi="Cambria Math"/>
                                  </w:rPr>
                                </m:ctrlPr>
                              </m:accPr>
                              <m:e>
                                <m:r>
                                  <w:rPr>
                                    <w:rFonts w:ascii="Cambria Math" w:hAnsi="Cambria Math"/>
                                  </w:rPr>
                                  <m:t>j</m:t>
                                </m:r>
                              </m:e>
                            </m:acc>
                          </m:sub>
                        </m:sSub>
                      </m:e>
                    </m:nary>
                  </m:num>
                  <m:den>
                    <m:r>
                      <w:rPr>
                        <w:rFonts w:ascii="Cambria Math" w:hAnsi="Cambria Math"/>
                      </w:rPr>
                      <m:t>B</m:t>
                    </m:r>
                  </m:den>
                </m:f>
              </m:e>
            </m:mr>
          </m:m>
          <m:r>
            <w:rPr>
              <w:rFonts w:ascii="Cambria Math" w:hAnsi="Cambria Math"/>
            </w:rPr>
            <m:t>  </m:t>
          </m:r>
          <m:d>
            <m:dPr>
              <m:ctrlPr>
                <w:rPr>
                  <w:rFonts w:ascii="Cambria Math" w:hAnsi="Cambria Math"/>
                </w:rPr>
              </m:ctrlPr>
            </m:dPr>
            <m:e>
              <m:r>
                <w:rPr>
                  <w:rFonts w:ascii="Cambria Math" w:hAnsi="Cambria Math"/>
                </w:rPr>
                <m:t>15</m:t>
              </m:r>
            </m:e>
          </m:d>
        </m:oMath>
      </m:oMathPara>
    </w:p>
    <w:p w14:paraId="2EBDF28E" w14:textId="3241AF86" w:rsidR="00AB27A8" w:rsidRDefault="00000000">
      <w:pPr>
        <w:pStyle w:val="FirstParagraph"/>
      </w:pPr>
      <w:r>
        <w:t xml:space="preserve">Where </w:t>
      </w:r>
      <w:r>
        <w:rPr>
          <w:i/>
          <w:iCs/>
        </w:rPr>
        <w:t>B</w:t>
      </w:r>
      <w:r>
        <w:t xml:space="preserve"> is the number of baits and </w:t>
      </w:r>
      <m:oMath>
        <m:sSub>
          <m:sSubPr>
            <m:ctrlPr>
              <w:rPr>
                <w:rFonts w:ascii="Cambria Math" w:hAnsi="Cambria Math"/>
              </w:rPr>
            </m:ctrlPr>
          </m:sSubPr>
          <m:e>
            <m:r>
              <w:rPr>
                <w:rFonts w:ascii="Cambria Math" w:hAnsi="Cambria Math"/>
              </w:rPr>
              <m:t>r</m:t>
            </m:r>
            <m:r>
              <w:rPr>
                <w:rFonts w:ascii="Cambria Math" w:hAnsi="Cambria Math"/>
              </w:rPr>
              <m:t>ank</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the ranked Pearson correlation coefficient between gene j and bait b in the context of </w:t>
      </w:r>
      <m:oMath>
        <m:acc>
          <m:accPr>
            <m:chr m:val="̃"/>
            <m:ctrlPr>
              <w:rPr>
                <w:rFonts w:ascii="Cambria Math" w:hAnsi="Cambria Math"/>
              </w:rPr>
            </m:ctrlPr>
          </m:accPr>
          <m:e>
            <m:r>
              <w:rPr>
                <w:rFonts w:ascii="Cambria Math" w:hAnsi="Cambria Math"/>
              </w:rPr>
              <m:t>J</m:t>
            </m:r>
          </m:e>
        </m:acc>
      </m:oMath>
      <w:r>
        <w:t xml:space="preserve"> non</w:t>
      </w:r>
      <w:r w:rsidR="001546C7">
        <w:t>-</w:t>
      </w:r>
      <w:r>
        <w:t>bait genes.</w:t>
      </w:r>
    </w:p>
    <w:p w14:paraId="480EF672" w14:textId="77777777" w:rsidR="00AB27A8" w:rsidRDefault="00000000">
      <w:pPr>
        <w:pStyle w:val="Heading2"/>
      </w:pPr>
      <w:bookmarkStart w:id="61" w:name="Xe35679ff03be81a8002ed19201f2cee693b89ad"/>
      <w:bookmarkEnd w:id="60"/>
      <w:r>
        <w:t>Fisher transformed Pearson correlation coefficient</w:t>
      </w:r>
    </w:p>
    <w:p w14:paraId="01114A7C" w14:textId="77777777" w:rsidR="00AB27A8" w:rsidRDefault="00000000">
      <w:pPr>
        <w:pStyle w:val="FirstParagraph"/>
      </w:pPr>
      <w:r>
        <w:t>To calculate Fisher transformed Pearson correlations (z) with Pearson’s r:</w:t>
      </w:r>
    </w:p>
    <w:p w14:paraId="0F632D13" w14:textId="77777777" w:rsidR="00AB27A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e>
            </m:mr>
          </m:m>
          <m:r>
            <w:rPr>
              <w:rFonts w:ascii="Cambria Math" w:hAnsi="Cambria Math"/>
            </w:rPr>
            <m:t>  </m:t>
          </m:r>
          <m:d>
            <m:dPr>
              <m:ctrlPr>
                <w:rPr>
                  <w:rFonts w:ascii="Cambria Math" w:hAnsi="Cambria Math"/>
                </w:rPr>
              </m:ctrlPr>
            </m:dPr>
            <m:e>
              <m:r>
                <w:rPr>
                  <w:rFonts w:ascii="Cambria Math" w:hAnsi="Cambria Math"/>
                </w:rPr>
                <m:t>16</m:t>
              </m:r>
            </m:e>
          </m:d>
        </m:oMath>
      </m:oMathPara>
      <w:bookmarkEnd w:id="59"/>
      <w:bookmarkEnd w:id="61"/>
    </w:p>
    <w:sectPr w:rsidR="00AB27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EBD6" w14:textId="77777777" w:rsidR="00A417F1" w:rsidRDefault="00A417F1">
      <w:pPr>
        <w:spacing w:after="0"/>
      </w:pPr>
      <w:r>
        <w:separator/>
      </w:r>
    </w:p>
  </w:endnote>
  <w:endnote w:type="continuationSeparator" w:id="0">
    <w:p w14:paraId="2E0EADAE" w14:textId="77777777" w:rsidR="00A417F1" w:rsidRDefault="00A417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9B1C" w14:textId="77777777" w:rsidR="00A417F1" w:rsidRDefault="00A417F1">
      <w:r>
        <w:separator/>
      </w:r>
    </w:p>
  </w:footnote>
  <w:footnote w:type="continuationSeparator" w:id="0">
    <w:p w14:paraId="52CFF028" w14:textId="77777777" w:rsidR="00A417F1" w:rsidRDefault="00A41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D493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01885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D75093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14F324B"/>
    <w:multiLevelType w:val="hybridMultilevel"/>
    <w:tmpl w:val="0786E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9044409">
    <w:abstractNumId w:val="0"/>
  </w:num>
  <w:num w:numId="2" w16cid:durableId="522862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51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041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17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27A8"/>
    <w:rsid w:val="001546C7"/>
    <w:rsid w:val="00251FD4"/>
    <w:rsid w:val="00A417F1"/>
    <w:rsid w:val="00AB27A8"/>
    <w:rsid w:val="00C04E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4971"/>
  <w15:docId w15:val="{62B6BE1E-9AED-4E44-845C-2A576C23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nature.com/articles/npre.2010.4282.1" TargetMode="External"/><Relationship Id="rId26" Type="http://schemas.openxmlformats.org/officeDocument/2006/relationships/hyperlink" Target="https://doi.org/10.1093/bioinformatics/bti476" TargetMode="External"/><Relationship Id="rId39" Type="http://schemas.openxmlformats.org/officeDocument/2006/relationships/hyperlink" Target="https://genome.cshlp.org/content/30/6/849" TargetMode="External"/><Relationship Id="rId21" Type="http://schemas.openxmlformats.org/officeDocument/2006/relationships/hyperlink" Target="https://www.frontiersin.org/articles/10.3389/fpls.2015.01194" TargetMode="External"/><Relationship Id="rId34" Type="http://schemas.openxmlformats.org/officeDocument/2006/relationships/hyperlink" Target="https://doi.org/10.1186/1471-2105-10-52" TargetMode="External"/><Relationship Id="rId42" Type="http://schemas.openxmlformats.org/officeDocument/2006/relationships/hyperlink" Target="https://www.sciencedirect.com/science/article/pii/S0169743908001548" TargetMode="External"/><Relationship Id="rId7" Type="http://schemas.openxmlformats.org/officeDocument/2006/relationships/hyperlink" Target="mailto:f.t.g.white@uva.n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doi.org/10.1186/s12864-023-0922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ciencedirect.com/science/article/pii/0003267086800289" TargetMode="External"/><Relationship Id="rId32" Type="http://schemas.openxmlformats.org/officeDocument/2006/relationships/hyperlink" Target="https://doi.org/10.1186/s12864-022-09020-7" TargetMode="External"/><Relationship Id="rId37" Type="http://schemas.openxmlformats.org/officeDocument/2006/relationships/hyperlink" Target="https://doi.org/10.1104/pp.17.00301" TargetMode="External"/><Relationship Id="rId40" Type="http://schemas.openxmlformats.org/officeDocument/2006/relationships/hyperlink" Target="https://doi.org/10.1080/1054340090357275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186/s12870-021-03124-0" TargetMode="External"/><Relationship Id="rId28" Type="http://schemas.openxmlformats.org/officeDocument/2006/relationships/hyperlink" Target="https://journals.plos.org/plosone/article?id=10.1371/journal.pone.0271847" TargetMode="External"/><Relationship Id="rId36" Type="http://schemas.openxmlformats.org/officeDocument/2006/relationships/hyperlink" Target="https://onlinelibrary.wiley.com/doi/abs/10.1002/cem.1289" TargetMode="External"/><Relationship Id="rId10" Type="http://schemas.openxmlformats.org/officeDocument/2006/relationships/image" Target="media/image3.png"/><Relationship Id="rId19" Type="http://schemas.openxmlformats.org/officeDocument/2006/relationships/hyperlink" Target="https://doi.org/10.1093/bioinformatics/btp616" TargetMode="External"/><Relationship Id="rId31" Type="http://schemas.openxmlformats.org/officeDocument/2006/relationships/hyperlink" Target="https://www.frontiersin.org/articles/10.3389/fmolb.2022.962431"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linelibrary.wiley.com/doi/abs/10.1111/tpj.16140" TargetMode="External"/><Relationship Id="rId27" Type="http://schemas.openxmlformats.org/officeDocument/2006/relationships/hyperlink" Target="https://onlinelibrary.wiley.com/doi/abs/10.1002/cem.2895" TargetMode="External"/><Relationship Id="rId30" Type="http://schemas.openxmlformats.org/officeDocument/2006/relationships/hyperlink" Target="https://doi.org/10.1093/bioinformatics/btm251" TargetMode="External"/><Relationship Id="rId35" Type="http://schemas.openxmlformats.org/officeDocument/2006/relationships/hyperlink" Target="https://www.sciencedirect.com/science/article/pii/016974399385002X" TargetMode="External"/><Relationship Id="rId43" Type="http://schemas.openxmlformats.org/officeDocument/2006/relationships/hyperlink" Target="https://onlinelibrary.wiley.com/doi/abs/10.1111/j.1365-313X.2011.04640.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pubs.siam.org/doi/abs/10.1137/0905052" TargetMode="External"/><Relationship Id="rId33" Type="http://schemas.openxmlformats.org/officeDocument/2006/relationships/hyperlink" Target="https://www.ncbi.nlm.nih.gov/pmc/articles/PMC2697656/" TargetMode="External"/><Relationship Id="rId38" Type="http://schemas.openxmlformats.org/officeDocument/2006/relationships/hyperlink" Target="https://www.sciencedirect.com/science/article/pii/S1360138517301747" TargetMode="External"/><Relationship Id="rId46" Type="http://schemas.openxmlformats.org/officeDocument/2006/relationships/theme" Target="theme/theme1.xml"/><Relationship Id="rId20" Type="http://schemas.openxmlformats.org/officeDocument/2006/relationships/hyperlink" Target="https://doi.org/10.1186/1471-2105-9-559" TargetMode="External"/><Relationship Id="rId41" Type="http://schemas.openxmlformats.org/officeDocument/2006/relationships/hyperlink" Target="https://doi.org/10.1109/TCBB.2019.2893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8463</Words>
  <Characters>48242</Characters>
  <Application>Microsoft Office Word</Application>
  <DocSecurity>0</DocSecurity>
  <Lines>402</Lines>
  <Paragraphs>113</Paragraphs>
  <ScaleCrop>false</ScaleCrop>
  <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cp:lastModifiedBy>Fred White</cp:lastModifiedBy>
  <cp:revision>4</cp:revision>
  <dcterms:created xsi:type="dcterms:W3CDTF">2023-12-19T15:25:00Z</dcterms:created>
  <dcterms:modified xsi:type="dcterms:W3CDTF">2023-12-19T15:29:00Z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19 December, 2023</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