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4.png" ContentType="image/png"/>
  <Override PartName="/word/media/rId134.png" ContentType="image/png"/>
  <Override PartName="/word/media/rId39.png" ContentType="image/png"/>
  <Override PartName="/word/media/rId21.png" ContentType="image/png"/>
  <Override PartName="/word/media/rId59.png" ContentType="image/png"/>
  <Override PartName="/word/media/rId34.png" ContentType="image/png"/>
  <Override PartName="/word/media/rId6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25</w:t>
      </w:r>
      <w:r>
        <w:t xml:space="preserve"> </w:t>
      </w:r>
      <w:r>
        <w:t xml:space="preserve">January,</w:t>
      </w:r>
      <w:r>
        <w:t xml:space="preserve"> </w:t>
      </w:r>
      <w:r>
        <w:t xml:space="preserve">2024</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the effects of an intervention, gene expression can be measured through RNA sequencing (RNAseq). Analysis of RNAseq data generally adheres to one of two approaches: differential expression analysis (DE;</w:t>
      </w:r>
      <w:r>
        <w:t xml:space="preserve"> </w:t>
      </w:r>
      <w:r>
        <w:t xml:space="preserve">(</w:t>
      </w:r>
      <w:hyperlink w:anchor="X6fa5e42e8bb074aaef1f9066b87c01d4c455181">
        <w:r>
          <w:rPr>
            <w:rStyle w:val="Hyperlink"/>
          </w:rPr>
          <w:t xml:space="preserve">1</w:t>
        </w:r>
      </w:hyperlink>
      <w:r>
        <w:t xml:space="preserve">)</w:t>
      </w:r>
      <w:r>
        <w:t xml:space="preserve">;</w:t>
      </w:r>
      <w:r>
        <w:t xml:space="preserve"> </w:t>
      </w:r>
      <w:r>
        <w:t xml:space="preserve">(</w:t>
      </w:r>
      <w:hyperlink w:anchor="ref-robinsonEdgeRBioconductorPackage2010">
        <w:r>
          <w:rPr>
            <w:rStyle w:val="Hyperlink"/>
          </w:rPr>
          <w:t xml:space="preserve">2</w:t>
        </w:r>
      </w:hyperlink>
      <w:r>
        <w:t xml:space="preserve">)</w:t>
      </w:r>
      <w:r>
        <w:t xml:space="preserve">) or coexpression analysis (CoE;</w:t>
      </w:r>
      <w:r>
        <w:t xml:space="preserve"> </w:t>
      </w:r>
      <w:r>
        <w:t xml:space="preserve">(</w:t>
      </w:r>
      <w:hyperlink w:anchor="ref-langfelderWGCNAPackageWeighted2008">
        <w:r>
          <w:rPr>
            <w:rStyle w:val="Hyperlink"/>
          </w:rPr>
          <w:t xml:space="preserve">3</w:t>
        </w:r>
      </w:hyperlink>
      <w:r>
        <w:t xml:space="preserve">)</w:t>
      </w:r>
      <w:r>
        <w:t xml:space="preserve">;</w:t>
      </w:r>
      <w:r>
        <w:t xml:space="preserve"> </w:t>
      </w:r>
      <w:r>
        <w:t xml:space="preserve">(</w:t>
      </w:r>
      <w:hyperlink w:anchor="X50bc0c3b60103ad8bb1cb40c349e8e66acca303">
        <w:r>
          <w:rPr>
            <w:rStyle w:val="Hyperlink"/>
          </w:rPr>
          <w:t xml:space="preserve">4</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targets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Panel A represents hypothetical biological pathways that are all affected by the experimental design and thus all contain DE genes, here the edges represent real connections between the nodes/genes. Panel B highlights the problem with detecting these pathways when dealing with data from designed experiments, edges represent putative connections defined by coexpression analysis; black is desired (within network detection), grey non-desired."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Panel A represents hypothetical biological pathways that are all affected by the experimental design and thus all contain DE genes, here the edges represent real connections between the nodes/genes. Panel B highlights the problem with detecting these pathways when dealing with data from designed experiments, edges represent putative connections defined by coexpression analysis; black is desired (within network detection), grey non-desired.</w:t>
      </w:r>
    </w:p>
    <w:p>
      <w:pPr>
        <w:pStyle w:val="BodyText"/>
      </w:pPr>
      <w:r>
        <w:t xml:space="preserve">Figure</w:t>
      </w:r>
      <w:r>
        <w:t xml:space="preserve"> </w:t>
      </w:r>
      <w:r>
        <w:t xml:space="preserve">1</w:t>
      </w:r>
      <w:r>
        <w:t xml:space="preserve"> </w:t>
      </w:r>
      <w:r>
        <w:t xml:space="preserve">outlines pathway nomenclature that will be used throughout this text. Panel</w:t>
      </w:r>
      <w:r>
        <w:t xml:space="preserve"> </w:t>
      </w:r>
      <w:r>
        <w:rPr>
          <w:iCs/>
          <w:i/>
        </w:rPr>
        <w:t xml:space="preserve">A</w:t>
      </w:r>
      <w:r>
        <w:t xml:space="preserve"> </w:t>
      </w:r>
      <w:r>
        <w:t xml:space="preserve">represents hypothetical pathways including a pathway of interest (POI), related pathway (RP) and an unrelated pathway (URP). All three types of pathway are assumed to be affected by the experimental design. URPs are defined to be pathways not directly interacting with the POI. In the hypothetical example displayed in Figure</w:t>
      </w:r>
      <w:r>
        <w:t xml:space="preserve"> </w:t>
      </w:r>
      <w:r>
        <w:t xml:space="preserve">1</w:t>
      </w:r>
      <w:r>
        <w:t xml:space="preserve">, taking the purple triangles as baits, the desired outcome of a coexpression analysis would be to detect all other purple and orange coloured genes and not the light green genes. However, these connections are not always preferentially detected, this is due to the presence of different sources of variance in the data.</w:t>
      </w:r>
    </w:p>
    <w:p>
      <w:pPr>
        <w:pStyle w:val="BodyText"/>
      </w:pPr>
      <w:r>
        <w:t xml:space="preserve">When dealing with experimentally designed data, we have to consider two key sources of variance: between-group and within-group. Between-group variance pertains to the differences between experimental groups (or conditions). This type of variance is of interest when conducting DE studies. Within-group variance, on the other hand, is the variance within experimental groups (among replicates), this is not interesting for DE studies but may contain information useful to CoE. It is the excessive between-group variance that leads to the densely connected nature of panel</w:t>
      </w:r>
      <w:r>
        <w:t xml:space="preserve"> </w:t>
      </w:r>
      <w:r>
        <w:rPr>
          <w:iCs/>
          <w:i/>
        </w:rPr>
        <w:t xml:space="preserve">B</w:t>
      </w:r>
      <w:r>
        <w:t xml:space="preserve"> </w:t>
      </w:r>
      <w:r>
        <w:t xml:space="preserve">from</w:t>
      </w:r>
      <w:r>
        <w:t xml:space="preserve"> </w:t>
      </w:r>
      <w:r>
        <w:t xml:space="preserve">1</w:t>
      </w:r>
      <w:r>
        <w:t xml:space="preserve">. Concretising this with a biological example; in</w:t>
      </w:r>
      <w:r>
        <w:t xml:space="preserve"> </w:t>
      </w:r>
      <w:r>
        <w:t xml:space="preserve">(</w:t>
      </w:r>
      <w:hyperlink w:anchor="Xc2b17888754b4d684e1893820af32b0e8e89a94">
        <w:r>
          <w:rPr>
            <w:rStyle w:val="Hyperlink"/>
          </w:rPr>
          <w:t xml:space="preserve">5</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t>
      </w:r>
      <w:hyperlink w:anchor="ref-wangRoleStrigolactonesDeficiency2021">
        <w:r>
          <w:rPr>
            <w:rStyle w:val="Hyperlink"/>
          </w:rPr>
          <w:t xml:space="preserve">6</w:t>
        </w:r>
      </w:hyperlink>
      <w:r>
        <w:t xml:space="preserve">)</w:t>
      </w:r>
      <w:r>
        <w:t xml:space="preserve">).</w:t>
      </w:r>
    </w:p>
    <w:p>
      <w:pPr>
        <w:pStyle w:val="BodyText"/>
      </w:pPr>
      <w:r>
        <w:t xml:space="preserve">Figure</w:t>
      </w:r>
      <w:r>
        <w:t xml:space="preserve"> </w:t>
      </w:r>
      <w:r>
        <w:t xml:space="preserve">2</w:t>
      </w:r>
      <w:r>
        <w:t xml:space="preserve"> </w:t>
      </w:r>
      <w:r>
        <w:t xml:space="preserve">exemplifies between-group and within-group driven correlations from a real dataset (</w:t>
      </w:r>
      <w:r>
        <w:t xml:space="preserve">(</w:t>
      </w:r>
      <w:hyperlink w:anchor="Xc2b17888754b4d684e1893820af32b0e8e89a94">
        <w:r>
          <w:rPr>
            <w:rStyle w:val="Hyperlink"/>
          </w:rPr>
          <w:t xml:space="preserve">5</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the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w:t>
      </w:r>
      <w:r>
        <w:t xml:space="preserve"> </w:t>
      </w:r>
      <w:r>
        <w:t xml:space="preserve">(</w:t>
      </w:r>
      <w:hyperlink w:anchor="Xc2b17888754b4d684e1893820af32b0e8e89a94">
        <w:r>
          <w:rPr>
            <w:rStyle w:val="Hyperlink"/>
          </w:rPr>
          <w:t xml:space="preserve">5</w:t>
        </w:r>
      </w:hyperlink>
      <w:r>
        <w:t xml:space="preserve">)</w:t>
      </w:r>
      <w:r>
        <w:t xml:space="preserve"> </w:t>
      </w:r>
      <w:r>
        <w:t xml:space="preserve">used ranked Pearson correlations to determine (total) coexpression candidates. Due to such a strong effect of the experiment, many genes were affected on top of the desired SL genes. This masked the within-group correlation between the baits and the targets (remaining unknown SL genes). This problematic issue was also highlighted recently by</w:t>
      </w:r>
      <w:r>
        <w:t xml:space="preserve"> </w:t>
      </w:r>
      <w:r>
        <w:t xml:space="preserve">(</w:t>
      </w:r>
      <w:hyperlink w:anchor="ref-saccentiWhatCanGo2023">
        <w:r>
          <w:rPr>
            <w:rStyle w:val="Hyperlink"/>
          </w:rPr>
          <w:t xml:space="preserve">7</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5334000"/>
            <wp:effectExtent b="0" l="0" r="0" t="0"/>
            <wp:docPr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Data from</w:t>
      </w:r>
      <w:r>
        <w:t xml:space="preserve"> </w:t>
      </w:r>
      <w:r>
        <w:t xml:space="preserve">(</w:t>
      </w:r>
      <w:hyperlink w:anchor="Xc2b17888754b4d684e1893820af32b0e8e89a94">
        <w:r>
          <w:rPr>
            <w:rStyle w:val="Hyperlink"/>
          </w:rPr>
          <w:t xml:space="preserve">5</w:t>
        </w:r>
      </w:hyperlink>
      <w:r>
        <w:t xml:space="preserve">)</w:t>
      </w:r>
      <w:r>
        <w:t xml:space="preserve">. X axes, expression levels of MAX1 gene (Os01t0700900–01) in rice, Y axes expression levels of example coexpression candidates, aribitrary units. Top row A-B;</w:t>
      </w:r>
      <w:r>
        <w:t xml:space="preserve"> </w:t>
      </w:r>
      <w:r>
        <w:rPr>
          <w:iCs/>
          <w:i/>
        </w:rPr>
        <w:t xml:space="preserve">total CoE</w:t>
      </w:r>
      <w:r>
        <w:t xml:space="preserve">, bottom row C-D</w:t>
      </w:r>
      <w:r>
        <w:t xml:space="preserve"> </w:t>
      </w:r>
      <w:r>
        <w:rPr>
          <w:iCs/>
          <w:i/>
        </w:rPr>
        <w:t xml:space="preserve">within-group CoE</w:t>
      </w:r>
      <w:r>
        <w:t xml:space="preserve"> </w:t>
      </w:r>
      <w:r>
        <w:t xml:space="preserve">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pPr>
        <w:pStyle w:val="BodyText"/>
      </w:pPr>
      <w:r>
        <w:t xml:space="preserve">For a successful coexpression analysis it is necessary to have a predefined set of baits that are already known to be involved in the pathway under study. Methods like ranked correlations and partial least squares regression (PLS;</w:t>
      </w:r>
      <w:r>
        <w:t xml:space="preserve"> </w:t>
      </w:r>
      <w:r>
        <w:t xml:space="preserve">(</w:t>
      </w:r>
      <w:hyperlink w:anchor="Xd0e6c30a697db42abb2065af1a17da6eb418ea3">
        <w:r>
          <w:rPr>
            <w:rStyle w:val="Hyperlink"/>
          </w:rPr>
          <w:t xml:space="preserve">8</w:t>
        </w:r>
      </w:hyperlink>
      <w:r>
        <w:t xml:space="preserve">)</w:t>
      </w:r>
      <w:r>
        <w:t xml:space="preserve">;</w:t>
      </w:r>
      <w:r>
        <w:t xml:space="preserve"> </w:t>
      </w:r>
      <w:r>
        <w:t xml:space="preserve">(</w:t>
      </w:r>
      <w:hyperlink w:anchor="ref-woldCollinearityProblemLinear1984">
        <w:r>
          <w:rPr>
            <w:rStyle w:val="Hyperlink"/>
          </w:rPr>
          <w:t xml:space="preserve">9</w:t>
        </w:r>
      </w:hyperlink>
      <w:r>
        <w:t xml:space="preserve">)</w:t>
      </w:r>
      <w:r>
        <w:t xml:space="preserve">)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w:t>
      </w:r>
      <w:hyperlink w:anchor="ref-searleLinearModels1971">
        <w:r>
          <w:rPr>
            <w:rStyle w:val="Hyperlink"/>
          </w:rPr>
          <w:t xml:space="preserve">10</w:t>
        </w:r>
      </w:hyperlink>
      <w:r>
        <w:t xml:space="preserve">)</w:t>
      </w:r>
      <w:r>
        <w:t xml:space="preserve">). ANOVA simultaneous component analysis (ASCA;</w:t>
      </w:r>
      <w:r>
        <w:t xml:space="preserve"> </w:t>
      </w:r>
      <w:r>
        <w:t xml:space="preserve">(</w:t>
      </w:r>
      <w:hyperlink w:anchor="Xaca7e11f7e5f0a0465524ca94b5740f80e57dcd">
        <w:r>
          <w:rPr>
            <w:rStyle w:val="Hyperlink"/>
          </w:rPr>
          <w:t xml:space="preserve">11</w:t>
        </w:r>
      </w:hyperlink>
      <w:r>
        <w:t xml:space="preserve">)</w:t>
      </w:r>
      <w:r>
        <w:t xml:space="preserve">) and its extension to imbalanced data via the generalised linear model (ASCA+;</w:t>
      </w:r>
      <w:r>
        <w:t xml:space="preserve"> </w:t>
      </w:r>
      <w:r>
        <w:t xml:space="preserve">(</w:t>
      </w:r>
      <w:hyperlink w:anchor="ref-thielASCAAPCAExtensions2017">
        <w:r>
          <w:rPr>
            <w:rStyle w:val="Hyperlink"/>
          </w:rPr>
          <w:t xml:space="preserve">12</w:t>
        </w:r>
      </w:hyperlink>
      <w:r>
        <w:t xml:space="preserve">)</w:t>
      </w:r>
      <w:r>
        <w:t xml:space="preserve">)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w:t>
      </w:r>
      <w:hyperlink w:anchor="ref-augerGeneCoexpressionNetwork2022">
        <w:r>
          <w:rPr>
            <w:rStyle w:val="Hyperlink"/>
          </w:rPr>
          <w:t xml:space="preserve">13</w:t>
        </w:r>
      </w:hyperlink>
      <w:r>
        <w:t xml:space="preserve">)</w:t>
      </w:r>
      <w:r>
        <w:t xml:space="preserve">,</w:t>
      </w:r>
      <w:r>
        <w:t xml:space="preserve"> </w:t>
      </w:r>
      <w:r>
        <w:t xml:space="preserve">(</w:t>
      </w:r>
      <w:hyperlink w:anchor="ref-renRNABindingProteins2023">
        <w:r>
          <w:rPr>
            <w:rStyle w:val="Hyperlink"/>
          </w:rPr>
          <w:t xml:space="preserve">14</w:t>
        </w:r>
      </w:hyperlink>
      <w:r>
        <w:t xml:space="preserve">)</w:t>
      </w:r>
      <w:r>
        <w:t xml:space="preserve">,</w:t>
      </w:r>
      <w:r>
        <w:t xml:space="preserve"> </w:t>
      </w:r>
      <w:r>
        <w:t xml:space="preserve">(</w:t>
      </w:r>
      <w:hyperlink w:anchor="ref-nuedaDiscoveringGeneExpression2007">
        <w:r>
          <w:rPr>
            <w:rStyle w:val="Hyperlink"/>
          </w:rPr>
          <w:t xml:space="preserve">15</w:t>
        </w:r>
      </w:hyperlink>
      <w:r>
        <w:t xml:space="preserve">)</w:t>
      </w:r>
      <w:r>
        <w:t xml:space="preserve">,</w:t>
      </w:r>
      <w:r>
        <w:t xml:space="preserve"> </w:t>
      </w:r>
      <w:r>
        <w:t xml:space="preserve">(</w:t>
      </w:r>
      <w:hyperlink w:anchor="ref-jarmundALASCAPackageLongitudinal2022">
        <w:r>
          <w:rPr>
            <w:rStyle w:val="Hyperlink"/>
          </w:rPr>
          <w:t xml:space="preserve">16</w:t>
        </w:r>
      </w:hyperlink>
      <w:r>
        <w:t xml:space="preserve">)</w:t>
      </w:r>
      <w:r>
        <w:t xml:space="preserve">) and CoE (</w:t>
      </w:r>
      <w:r>
        <w:t xml:space="preserve">(</w:t>
      </w:r>
      <w:hyperlink w:anchor="ref-guanSRGSSparsePartial2022">
        <w:r>
          <w:rPr>
            <w:rStyle w:val="Hyperlink"/>
          </w:rPr>
          <w:t xml:space="preserve">17</w:t>
        </w:r>
      </w:hyperlink>
      <w:r>
        <w:t xml:space="preserve">)</w:t>
      </w:r>
      <w:r>
        <w:t xml:space="preserve">,</w:t>
      </w:r>
      <w:r>
        <w:t xml:space="preserve"> </w:t>
      </w:r>
      <w:r>
        <w:t xml:space="preserve">(</w:t>
      </w:r>
      <w:hyperlink w:anchor="ref-nuedaFunctionalAssessmentTime2009">
        <w:r>
          <w:rPr>
            <w:rStyle w:val="Hyperlink"/>
          </w:rPr>
          <w:t xml:space="preserve">18</w:t>
        </w:r>
      </w:hyperlink>
      <w:r>
        <w:t xml:space="preserve">)</w:t>
      </w:r>
      <w:r>
        <w:t xml:space="preserve">). ASCA and PLS have been combined before in</w:t>
      </w:r>
      <w:r>
        <w:t xml:space="preserve"> </w:t>
      </w:r>
      <w:r>
        <w:t xml:space="preserve">(</w:t>
      </w:r>
      <w:hyperlink w:anchor="ref-thissenImprovingAnalysisDesigned2009">
        <w:r>
          <w:rPr>
            <w:rStyle w:val="Hyperlink"/>
          </w:rPr>
          <w:t xml:space="preserve">19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targets (POI or RP genes) are assumed to be numerous. Therefore, both the baits and the remainder of the data could be reduced to linear combinations in order to investigate relationships between a set of baits and putative targets.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targets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w:t>
      </w:r>
      <w:hyperlink w:anchor="Xc2b17888754b4d684e1893820af32b0e8e89a94">
        <w:r>
          <w:rPr>
            <w:rStyle w:val="Hyperlink"/>
          </w:rPr>
          <w:t xml:space="preserve">5</w:t>
        </w:r>
      </w:hyperlink>
      <w:r>
        <w:t xml:space="preserve">)</w:t>
      </w:r>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bookmarkEnd w:id="29"/>
    <w:bookmarkStart w:id="53"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w:t>
      </w:r>
      <w:hyperlink w:anchor="Xc2b17888754b4d684e1893820af32b0e8e89a94">
        <w:r>
          <w:rPr>
            <w:rStyle w:val="Hyperlink"/>
          </w:rPr>
          <w:t xml:space="preserve">5</w:t>
        </w:r>
      </w:hyperlink>
      <w:r>
        <w:t xml:space="preserve">)</w:t>
      </w:r>
    </w:p>
    <w:p>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w:t>
      </w:r>
      <w:r>
        <w:t xml:space="preserve"> </w:t>
      </w:r>
      <w:r>
        <w:t xml:space="preserve">(</w:t>
      </w:r>
      <w:hyperlink w:anchor="Xc2b17888754b4d684e1893820af32b0e8e89a94">
        <w:r>
          <w:rPr>
            <w:rStyle w:val="Hyperlink"/>
          </w:rPr>
          <w:t xml:space="preserve">5</w:t>
        </w:r>
      </w:hyperlink>
      <w:r>
        <w:t xml:space="preserve">)</w:t>
      </w:r>
      <w:r>
        <w:t xml:space="preserve">.</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a different within-group structure).</w:t>
      </w:r>
    </w:p>
    <w:p>
      <w:pPr>
        <w:pStyle w:val="CaptionedFigure"/>
      </w:pPr>
      <w:r>
        <w:drawing>
          <wp:inline>
            <wp:extent cx="5334000" cy="5334000"/>
            <wp:effectExtent b="0" l="0" r="0" t="0"/>
            <wp:docPr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w:t>
      </w:r>
      <w:hyperlink w:anchor="Xc2b17888754b4d684e1893820af32b0e8e89a94">
        <w:r>
          <w:rPr>
            <w:rStyle w:val="Hyperlink"/>
          </w:rPr>
          <w:t xml:space="preserve">5</w:t>
        </w:r>
      </w:hyperlink>
      <w:r>
        <w:t xml:space="preserve">)</w:t>
      </w:r>
      <w:r>
        <w:t xml:space="preserve">, genes autoscaled i.e. blue indicates no/low expression and red indicates higher expression. IDs with functional annotations in supplementary table 1.</w:t>
      </w:r>
    </w:p>
    <w:p>
      <w:pPr>
        <w:pStyle w:val="CaptionedFigure"/>
      </w:pPr>
      <w:r>
        <w:drawing>
          <wp:inline>
            <wp:extent cx="5334000" cy="2667000"/>
            <wp:effectExtent b="0" l="0" r="0" t="0"/>
            <wp:docPr descr="Figure 4: Scores and loadings of the ASCA model of the combined effect (condition + condition:time interaction), model indicates samples and genes relative positions in the designed variance. g_c indicates growth condition, time indicates days after starvation indu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r>
        <w:t xml:space="preserve"> </w:t>
      </w:r>
      <w:r>
        <w:rPr>
          <w:iCs/>
          <w:i/>
        </w:rPr>
        <w:t xml:space="preserve">g_c</w:t>
      </w:r>
      <w:r>
        <w:t xml:space="preserve"> </w:t>
      </w:r>
      <w:r>
        <w:t xml:space="preserve">indicates growth condition,</w:t>
      </w:r>
      <w:r>
        <w:t xml:space="preserve"> </w:t>
      </w:r>
      <w:r>
        <w:rPr>
          <w:iCs/>
          <w:i/>
        </w:rPr>
        <w:t xml:space="preserve">time</w:t>
      </w:r>
      <w:r>
        <w:t xml:space="preserve"> </w:t>
      </w:r>
      <w:r>
        <w:t xml:space="preserve">indicates days after starvation induction.</w:t>
      </w:r>
    </w:p>
    <w:bookmarkEnd w:id="38"/>
    <w:bookmarkStart w:id="43"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targets .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(g_c) and time. As can be seen in Figure</w:t>
      </w:r>
      <w:r>
        <w:t xml:space="preserve"> </w:t>
      </w:r>
      <w:r>
        <w:t xml:space="preserve">4</w:t>
      </w:r>
      <w:r>
        <w:t xml:space="preserve"> </w:t>
      </w:r>
      <w:r>
        <w:t xml:space="preserve">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w:t>
      </w:r>
      <w:r>
        <w:t xml:space="preserve"> </w:t>
      </w:r>
      <m:oMath>
        <m:r>
          <m:t>b</m:t>
        </m:r>
        <m:r>
          <m:t>e</m:t>
        </m:r>
        <m:r>
          <m:t>t</m:t>
        </m:r>
        <m:r>
          <m:t>a</m:t>
        </m:r>
      </m:oMath>
      <w:r>
        <w:t xml:space="preserve"> </w:t>
      </w:r>
      <w:r>
        <w:t xml:space="preserve">and the combined effect (</w:t>
      </w:r>
      <m:oMath>
        <m:r>
          <m:t>α</m:t>
        </m:r>
        <m:r>
          <m:rPr>
            <m:sty m:val="p"/>
          </m:rPr>
          <m:t>+</m:t>
        </m:r>
        <m:r>
          <m:t>α</m:t>
        </m:r>
        <m:r>
          <m:t>β</m:t>
        </m:r>
      </m:oMath>
      <w:r>
        <w:t xml:space="preserve">), and the Ambient/Residual variation which exists of the structured ambient variance (</w:t>
      </w:r>
      <m:oMath>
        <m:r>
          <m:t>S</m:t>
        </m:r>
      </m:oMath>
      <w:r>
        <w:t xml:space="preserve">) and residual variation (</w:t>
      </w:r>
      <m:oMath>
        <m:r>
          <m:t>E</m:t>
        </m:r>
      </m:oMath>
      <w:r>
        <w:t xml:space="preserve">) representing measurement error, modeled 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Each of the sources of variation except the residual variation is simulated as low dimensional variation created from 2 scores (</w:t>
      </w:r>
      <m:oMath>
        <m:r>
          <m:rPr>
            <m:sty m:val="b"/>
          </m:rPr>
          <m:t>T</m:t>
        </m:r>
      </m:oMath>
      <w:r>
        <w:t xml:space="preserve">) and loadings (</w:t>
      </w:r>
      <m:oMath>
        <m:r>
          <m:rPr>
            <m:sty m:val="b"/>
          </m:rPr>
          <m:t>P</m:t>
        </m:r>
      </m:oMath>
      <w:r>
        <w:t xml:space="preserve">). For the experimental variation, 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For the Ambient variation, the scores</w:t>
      </w:r>
      <w:r>
        <w:t xml:space="preserve"> </w:t>
      </w:r>
      <m:oMath>
        <m:sSub>
          <m:e>
            <m:r>
              <m:rPr>
                <m:sty m:val="b"/>
              </m:rPr>
              <m:t>T</m:t>
            </m:r>
          </m:e>
          <m:sub>
            <m:r>
              <m:t>S</m:t>
            </m:r>
          </m:sub>
        </m:sSub>
      </m:oMath>
      <w:r>
        <w:t xml:space="preserve"> </w:t>
      </w:r>
      <w:r>
        <w:t xml:space="preserve">are different for each replicate plant. The values in</w:t>
      </w:r>
      <w:r>
        <w:t xml:space="preserve"> </w:t>
      </w:r>
      <m:oMath>
        <m:sSub>
          <m:e>
            <m:r>
              <m:rPr>
                <m:sty m:val="b"/>
              </m:rPr>
              <m:t>T</m:t>
            </m:r>
          </m:e>
          <m:sub>
            <m:r>
              <m:t>S</m:t>
            </m:r>
          </m:sub>
        </m:sSub>
      </m:oMath>
      <w:r>
        <w:t xml:space="preserve"> </w:t>
      </w:r>
      <w:r>
        <w:t xml:space="preserve">are obtained from a normal distribution with mean 0 and variance 1, i.e. </w:t>
      </w:r>
      <m:oMath>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oMath>
      <w:r>
        <w:t xml:space="preserve">.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pPr>
        <w:pStyle w:val="BodyText"/>
      </w:pPr>
      <w:r>
        <w:t xml:space="preserve">In the loading matrices</w:t>
      </w:r>
      <w:r>
        <w:t xml:space="preserve"> </w:t>
      </w:r>
      <m:oMath>
        <m:r>
          <m:rPr>
            <m:sty m:val="b"/>
          </m:rPr>
          <m:t>P</m:t>
        </m:r>
      </m:oMath>
      <w:r>
        <w:t xml:space="preserve">, the different coloured blocks indicate different types of genes. The green block represents the bait genes of POI. The black genes represent</w:t>
      </w:r>
      <w:r>
        <w:t xml:space="preserve"> </w:t>
      </w:r>
      <w:r>
        <w:t xml:space="preserve">“</w:t>
      </w:r>
      <w:r>
        <w:t xml:space="preserve">unknown</w:t>
      </w:r>
      <w:r>
        <w:t xml:space="preserve">”</w:t>
      </w:r>
      <w:r>
        <w:t xml:space="preserve"> </w:t>
      </w:r>
      <w:r>
        <w:t xml:space="preserve">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(simulated targets; term used throughout simulations)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w:t>
      </w:r>
      <w:r>
        <w:t xml:space="preserve"> </w:t>
      </w:r>
      <m:oMath>
        <m:sSub>
          <m:e>
            <m:r>
              <m:rPr>
                <m:sty m:val="b"/>
              </m:rPr>
              <m:t>P</m:t>
            </m:r>
          </m:e>
          <m:sub>
            <m:r>
              <m:t>S</m:t>
            </m:r>
          </m:sub>
        </m:sSub>
      </m:oMath>
      <w:r>
        <w:t xml:space="preserve"> </w:t>
      </w:r>
      <w:r>
        <w:t xml:space="preserve">only has values for the baits (green) and spike (black) genes. The loading values for the baits and spikes are obtained as</w:t>
      </w:r>
      <w:r>
        <w:t xml:space="preserve"> </w:t>
      </w:r>
      <m:oMath>
        <m:sSubSup>
          <m:e>
            <m:r>
              <m:t>p</m:t>
            </m:r>
          </m:e>
          <m:sub>
            <m:sSub>
              <m:e>
                <m:r>
                  <m:t>S</m:t>
                </m:r>
              </m:e>
              <m:sub>
                <m:r>
                  <m:t>j</m:t>
                </m:r>
              </m:sub>
            </m:sSub>
            <m:r>
              <m:t>k</m:t>
            </m:r>
          </m:sub>
          <m:sup>
            <m:r>
              <m:t>b</m:t>
            </m:r>
            <m:r>
              <m:t>a</m:t>
            </m:r>
            <m:r>
              <m:t>i</m:t>
            </m:r>
            <m:r>
              <m:t>t</m:t>
            </m:r>
            <m:r>
              <m:t>s</m:t>
            </m:r>
            <m:r>
              <m:rPr>
                <m:sty m:val="p"/>
              </m:rPr>
              <m:t>,</m:t>
            </m:r>
            <m:r>
              <m:t>s</m:t>
            </m:r>
            <m:r>
              <m:t>p</m:t>
            </m:r>
            <m:r>
              <m:t>i</m:t>
            </m:r>
            <m:r>
              <m:t>k</m:t>
            </m:r>
            <m:r>
              <m:t>e</m:t>
            </m:r>
            <m:r>
              <m:t>s</m:t>
            </m:r>
          </m:sup>
        </m:sSubSup>
        <m:r>
          <m:rPr>
            <m:sty m:val="p"/>
          </m:rPr>
          <m:t>∼</m:t>
        </m:r>
        <m:r>
          <m:rPr>
            <m:sty m:val="p"/>
            <m:scr m:val="script"/>
          </m:rPr>
          <m:t>N</m:t>
        </m:r>
        <m:d>
          <m:dPr>
            <m:begChr m:val="("/>
            <m:endChr m:val=")"/>
            <m:sepChr m:val=""/>
            <m:grow/>
          </m:dPr>
          <m:e>
            <m:r>
              <m:t>0.5</m:t>
            </m:r>
            <m:r>
              <m:rPr>
                <m:sty m:val="p"/>
              </m:rPr>
              <m:t>,</m:t>
            </m:r>
            <m:r>
              <m:t>0.2</m:t>
            </m:r>
          </m:e>
        </m:d>
      </m:oMath>
      <w:r>
        <w:t xml:space="preserve">, while the loadings for the other genes are 0.</w:t>
      </w:r>
    </w:p>
    <w:p>
      <w:pPr>
        <w:pStyle w:val="BodyText"/>
      </w:pPr>
      <w:r>
        <w:t xml:space="preserve">To finalise, the response values all have an intercept</w:t>
      </w:r>
      <w:r>
        <w:t xml:space="preserve"> </w:t>
      </w:r>
      <m:oMath>
        <m:r>
          <m:rPr>
            <m:sty m:val="b"/>
          </m:rPr>
          <m:t>1</m:t>
        </m:r>
        <m:sSubSup>
          <m:e>
            <m:r>
              <m:t>μ</m:t>
            </m:r>
          </m:e>
          <m:sub>
            <m:r>
              <m:t>j</m:t>
            </m:r>
          </m:sub>
          <m:sup>
            <m:r>
              <m:t>T</m:t>
            </m:r>
          </m:sup>
        </m:sSubSup>
      </m:oMath>
      <w:r>
        <w:t xml:space="preserve">. Similarly to the real data, the gene expression values for each experimental condition are simulated with three independent replicates per time-condition-combination. Each simulated data Y set thus consists of 24 samples and 2000 genes.</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0" name="Picture"/>
            <a:graphic>
              <a:graphicData uri="http://schemas.openxmlformats.org/drawingml/2006/picture">
                <pic:pic>
                  <pic:nvPicPr>
                    <pic:cNvPr descr="Sim_SL_diagram_simplified.png" id="41" name="Picture"/>
                    <pic:cNvPicPr>
                      <a:picLocks noChangeArrowheads="1" noChangeAspect="1"/>
                    </pic:cNvPicPr>
                  </pic:nvPicPr>
                  <pic:blipFill>
                    <a:blip r:embed="rId39"/>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2" w:name="fig:simOverview"/>
      <w:bookmarkEnd w:id="42"/>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bookmarkEnd w:id="43"/>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(represented by the yellow block in Figure</w:t>
      </w:r>
      <w:r>
        <w:t xml:space="preserve"> </w:t>
      </w:r>
      <w:r>
        <w:t xml:space="preserve">5</w:t>
      </w:r>
      <w:r>
        <w:t xml:space="preserve">) that only have high between-group variance but no within-group variance.</w:t>
      </w:r>
    </w:p>
    <w:p>
      <w:pPr>
        <w:pStyle w:val="BodyText"/>
      </w:pPr>
      <w:r>
        <w:t xml:space="preserve">In this simulation we have a set of 4 baits, 12 spike genes and a variable number URP genes. The issue to address is the presence of many differential URPs; those that have strong between group correlation but no within group correlation with the POI. We incrementally increase the number of genes in the yellow block and decrease number of white genes with 0 loadings. As well as the number of DE URPs we also independently control the size of the experimental variance through the parameter</w:t>
      </w:r>
      <w:r>
        <w:t xml:space="preserve"> </w:t>
      </w:r>
      <w:r>
        <w:rPr>
          <w:iCs/>
          <w:i/>
        </w:rPr>
        <w:t xml:space="preserve">d</w:t>
      </w:r>
      <w:r>
        <w:t xml:space="preserve"> </w:t>
      </w:r>
      <w:r>
        <w:t xml:space="preserve">in Equation in (1). This approach controls the size of the experimental variance as well as the number of genes responding while keeping a fixed amount of ambient or within group variation.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1</m:t>
              </m:r>
            </m:e>
          </m:d>
        </m:oMath>
      </m:oMathPara>
    </w:p>
    <w:bookmarkEnd w:id="44"/>
    <w:bookmarkStart w:id="45" w:name="data-simulation-2-replication"/>
    <w:p>
      <w:pPr>
        <w:pStyle w:val="Heading2"/>
      </w:pPr>
      <w:r>
        <w:t xml:space="preserve">Data simulation 2: Replication</w:t>
      </w:r>
    </w:p>
    <w:p>
      <w:pPr>
        <w:pStyle w:val="FirstParagraph"/>
      </w:pPr>
      <w:r>
        <w:t xml:space="preserve">The second simulation focuses on the effect of a different number of replicates. We investigate a range of values for sizes of between experimental variance (</w:t>
      </w:r>
      <w:r>
        <w:rPr>
          <w:iCs/>
          <w:i/>
        </w:rPr>
        <w:t xml:space="preserve">d</w:t>
      </w:r>
      <w:r>
        <w:t xml:space="preserve">) and random noise variation (</w:t>
      </w:r>
      <w:r>
        <w:rPr>
          <w:iCs/>
          <w:i/>
        </w:rPr>
        <w:t xml:space="preserve">l</w:t>
      </w:r>
      <w:r>
        <w:t xml:space="preserve">) across random structures (which correspond to 20 repeated simulations of randomised values for all</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2</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p>
      <w:pPr>
        <w:pStyle w:val="BodyText"/>
      </w:pPr>
      <w:r>
        <w:t xml:space="preserve">With this setup we test the feasibility range of MASCARA with respect to the ratio of 3 key variance parameters namely:</w:t>
      </w:r>
      <w:r>
        <w:t xml:space="preserve"> </w:t>
      </w:r>
      <w:r>
        <w:t xml:space="preserve">1. Within group correlation structure</w:t>
      </w:r>
      <w:r>
        <w:t xml:space="preserve"> </w:t>
      </w:r>
      <w:r>
        <w:t xml:space="preserve">2. Between group correlation structure</w:t>
      </w:r>
      <w:r>
        <w:t xml:space="preserve"> </w:t>
      </w:r>
      <w:r>
        <w:t xml:space="preserve">3. Random noise</w:t>
      </w:r>
    </w:p>
    <w:p>
      <w:pPr>
        <w:pStyle w:val="BodyText"/>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 Figure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bookmarkEnd w:id="45"/>
    <w:bookmarkStart w:id="51" w:name="selection-of-genes-of-interest"/>
    <w:p>
      <w:pPr>
        <w:pStyle w:val="Heading2"/>
      </w:pPr>
      <w:r>
        <w:t xml:space="preserve">Selection of genes of interest</w:t>
      </w:r>
    </w:p>
    <w:bookmarkStart w:id="46" w:name="ranked-correlations"/>
    <w:p>
      <w:pPr>
        <w:pStyle w:val="Heading3"/>
      </w:pPr>
      <w:r>
        <w:t xml:space="preserve">Ranked correlations</w:t>
      </w:r>
    </w:p>
    <w:p>
      <w:pPr>
        <w:pStyle w:val="FirstParagraph"/>
      </w:pPr>
      <w:r>
        <w:t xml:space="preserve">Pearson’s correlation coefficient</w:t>
      </w:r>
      <w:r>
        <w:t xml:space="preserve"> </w:t>
      </w:r>
      <m:oMath>
        <m:sSub>
          <m:e>
            <m:r>
              <m:t>r</m:t>
            </m:r>
          </m:e>
          <m:sub>
            <m:r>
              <m:t>b</m:t>
            </m:r>
            <m:acc>
              <m:accPr>
                <m:chr m:val="̃"/>
              </m:accPr>
              <m:e>
                <m:r>
                  <m:t>j</m:t>
                </m:r>
              </m:e>
            </m:acc>
          </m:sub>
        </m:sSub>
      </m:oMath>
      <w:r>
        <w:t xml:space="preserve"> </w:t>
      </w:r>
      <w:r>
        <w:t xml:space="preserve">is calculated between all bait genes (b = 1..B) and all other genes (</w:t>
      </w:r>
      <m:oMath>
        <m:acc>
          <m:accPr>
            <m:chr m:val="̃"/>
          </m:accPr>
          <m:e>
            <m:r>
              <m:t>j</m:t>
            </m:r>
          </m:e>
        </m:acc>
        <m:r>
          <m:rPr>
            <m:sty m:val="p"/>
          </m:rPr>
          <m:t>=</m:t>
        </m:r>
        <m:r>
          <m:t>1</m:t>
        </m:r>
        <m:r>
          <m:rPr>
            <m:sty m:val="p"/>
          </m:rPr>
          <m:t>.</m:t>
        </m:r>
        <m:r>
          <m:rPr>
            <m:sty m:val="p"/>
          </m:rPr>
          <m:t>.</m:t>
        </m:r>
        <m:r>
          <m:rPr>
            <m:sty m:val="p"/>
          </m:rPr>
          <m:t>.</m:t>
        </m:r>
        <m:acc>
          <m:accPr>
            <m:chr m:val="̃"/>
          </m:accPr>
          <m:e>
            <m:r>
              <m:t>J</m:t>
            </m:r>
          </m:e>
        </m:acc>
      </m:oMath>
      <w:r>
        <w:t xml:space="preserve">). Ranks</w:t>
      </w:r>
      <w:r>
        <w:t xml:space="preserve"> </w:t>
      </w:r>
      <m:oMath>
        <m:sSub>
          <m:e>
            <m:acc>
              <m:accPr>
                <m:chr m:val="̃"/>
              </m:accPr>
              <m:e>
                <m:r>
                  <m:t>r</m:t>
                </m:r>
              </m:e>
            </m:acc>
          </m:e>
          <m:sub>
            <m:r>
              <m:t>b</m:t>
            </m:r>
            <m:acc>
              <m:accPr>
                <m:chr m:val="̃"/>
              </m:accPr>
              <m:e>
                <m:r>
                  <m:t>j</m:t>
                </m:r>
              </m:e>
            </m:acc>
          </m:sub>
        </m:sSub>
      </m:oMath>
      <w:r>
        <w:t xml:space="preserve"> </w:t>
      </w:r>
      <w:r>
        <w:t xml:space="preserve">are assigned for each</w:t>
      </w:r>
      <w:r>
        <w:t xml:space="preserve"> </w:t>
      </w:r>
      <m:oMath>
        <m:sSub>
          <m:e>
            <m:r>
              <m:t>r</m:t>
            </m:r>
          </m:e>
          <m:sub>
            <m:r>
              <m:t>b</m:t>
            </m:r>
            <m:acc>
              <m:accPr>
                <m:chr m:val="̃"/>
              </m:accPr>
              <m:e>
                <m:r>
                  <m:t>j</m:t>
                </m:r>
              </m:e>
            </m:acc>
          </m:sub>
        </m:sSub>
      </m:oMath>
      <w:r>
        <w:t xml:space="preserve"> </w:t>
      </w:r>
      <w:r>
        <w:t xml:space="preserve">such that the highest correlation for each bait gene b receives the lowest rank. These ranks are averaged across all baits B (see supplementary equation (14)).</w:t>
      </w:r>
    </w:p>
    <w:bookmarkEnd w:id="46"/>
    <w:bookmarkStart w:id="47" w:name="asca"/>
    <w:p>
      <w:pPr>
        <w:pStyle w:val="Heading3"/>
      </w:pPr>
      <w:r>
        <w:t xml:space="preserve">ASCA+</w:t>
      </w:r>
    </w:p>
    <w:p>
      <w:pPr>
        <w:pStyle w:val="FirstParagraph"/>
      </w:pPr>
      <w:r>
        <w:t xml:space="preserve">ANOVA simultaneous component analysis (</w:t>
      </w:r>
      <w:r>
        <w:t xml:space="preserve">(</w:t>
      </w:r>
      <w:hyperlink w:anchor="Xaca7e11f7e5f0a0465524ca94b5740f80e57dcd">
        <w:r>
          <w:rPr>
            <w:rStyle w:val="Hyperlink"/>
          </w:rPr>
          <w:t xml:space="preserve">11</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w:t>
      </w:r>
      <w:hyperlink w:anchor="ref-thielASCAAPCAExtensions2017">
        <w:r>
          <w:rPr>
            <w:rStyle w:val="Hyperlink"/>
          </w:rPr>
          <w:t xml:space="preserve">12</w:t>
        </w:r>
      </w:hyperlink>
      <w:r>
        <w:t xml:space="preserve">)</w:t>
      </w:r>
      <w:r>
        <w:t xml:space="preserve">. ASCA+ addresses the issue of biased effects matrices in unbalanced designs. The following is a summary of the algorithm description provided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X</m:t>
                </m:r>
                <m:r>
                  <m:rPr>
                    <m:sty m:val="b"/>
                  </m:rPr>
                  <m:t>Θ</m:t>
                </m:r>
                <m:r>
                  <m:rPr>
                    <m:sty m:val="p"/>
                  </m:rPr>
                  <m:t>+</m:t>
                </m:r>
                <m:r>
                  <m:rPr>
                    <m:sty m:val="b"/>
                  </m:rPr>
                  <m:t>E</m:t>
                </m:r>
              </m:e>
            </m:mr>
          </m:m>
          <m:r>
            <m:t>  </m:t>
          </m:r>
          <m:d>
            <m:dPr>
              <m:begChr m:val="("/>
              <m:endChr m:val=")"/>
              <m:sepChr m:val=""/>
              <m:grow/>
            </m:dPr>
            <m:e>
              <m:r>
                <m:t>3</m:t>
              </m:r>
            </m:e>
          </m:d>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sumcoded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m>
            <m:mPr>
              <m:baseJc m:val="center"/>
              <m:plcHide m:val="1"/>
              <m:mcs>
                <m:mc>
                  <m:mcPr>
                    <m:mcJc m:val="right"/>
                    <m:count m:val="1"/>
                  </m:mcPr>
                </m:mc>
              </m:mcs>
            </m:mPr>
            <m:mr>
              <m:e>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e>
            </m:mr>
          </m:m>
          <m:r>
            <m:t>  </m:t>
          </m:r>
          <m:d>
            <m:dPr>
              <m:begChr m:val="("/>
              <m:endChr m:val=")"/>
              <m:sepChr m:val=""/>
              <m:grow/>
            </m:dPr>
            <m:e>
              <m:r>
                <m:t>4</m:t>
              </m:r>
            </m:e>
          </m:d>
        </m:oMath>
      </m:oMathPara>
    </w:p>
    <w:p>
      <w:pPr>
        <w:pStyle w:val="FirstParagraph"/>
      </w:pPr>
      <w:r>
        <w:t xml:space="preserve">The effect matrices for different terms of the model can be obtained as:</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e>
            </m:mr>
          </m:m>
          <m:r>
            <m:t>  </m:t>
          </m:r>
          <m:d>
            <m:dPr>
              <m:begChr m:val="("/>
              <m:endChr m:val=")"/>
              <m:sepChr m:val=""/>
              <m:grow/>
            </m:dPr>
            <m:e>
              <m:r>
                <m:t>5</m:t>
              </m:r>
            </m:e>
          </m:d>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sSup>
                  <m:e>
                    <m:d>
                      <m:dPr>
                        <m:begChr m:val="["/>
                        <m:endChr m:val="]"/>
                        <m:sepChr m:val=""/>
                        <m:grow/>
                      </m:dPr>
                      <m:e>
                        <m:r>
                          <m:t>0</m:t>
                        </m:r>
                        <m:d>
                          <m:dPr>
                            <m:begChr m:val="|"/>
                            <m:endChr m:val="|"/>
                            <m:sepChr m:val=""/>
                            <m:grow/>
                          </m:dPr>
                          <m:e>
                            <m:sSub>
                              <m:e>
                                <m:acc>
                                  <m:accPr>
                                    <m:chr m:val="̂"/>
                                  </m:accPr>
                                  <m:e>
                                    <m:r>
                                      <m:rPr>
                                        <m:sty m:val="b"/>
                                      </m:rPr>
                                      <m:t>Θ</m:t>
                                    </m:r>
                                  </m:e>
                                </m:acc>
                              </m:e>
                              <m:sub>
                                <m:r>
                                  <m:t>f</m:t>
                                </m:r>
                              </m:sub>
                            </m:sSub>
                          </m:e>
                        </m:d>
                        <m:r>
                          <m:t>0</m:t>
                        </m:r>
                      </m:e>
                    </m:d>
                  </m:e>
                  <m:sup>
                    <m:r>
                      <m:t>T</m:t>
                    </m:r>
                  </m:sup>
                </m:sSup>
                <m:r>
                  <m:rPr>
                    <m:sty m:val="p"/>
                  </m:rPr>
                  <m:t>=</m:t>
                </m:r>
                <m:sSub>
                  <m:e>
                    <m:r>
                      <m:rPr>
                        <m:sty m:val="b"/>
                      </m:rPr>
                      <m:t>X</m:t>
                    </m:r>
                  </m:e>
                  <m:sub>
                    <m:r>
                      <m:t>f</m:t>
                    </m:r>
                  </m:sub>
                </m:sSub>
                <m:sSub>
                  <m:e>
                    <m:acc>
                      <m:accPr>
                        <m:chr m:val="̂"/>
                      </m:accPr>
                      <m:e>
                        <m:r>
                          <m:rPr>
                            <m:sty m:val="b"/>
                          </m:rPr>
                          <m:t>Θ</m:t>
                        </m:r>
                      </m:e>
                    </m:acc>
                  </m:e>
                  <m:sub>
                    <m:r>
                      <m:t>f</m:t>
                    </m:r>
                  </m:sub>
                </m:sSub>
              </m:e>
            </m:mr>
          </m:m>
          <m:r>
            <m:t>  </m:t>
          </m:r>
          <m:d>
            <m:dPr>
              <m:begChr m:val="("/>
              <m:endChr m:val=")"/>
              <m:sepChr m:val=""/>
              <m:grow/>
            </m:dPr>
            <m:e>
              <m:r>
                <m:t>6</m:t>
              </m:r>
            </m:e>
          </m:d>
        </m:oMath>
      </m:oMathPara>
    </w:p>
    <w:p>
      <w:pPr>
        <w:pStyle w:val="FirstParagraph"/>
      </w:pPr>
      <w:r>
        <w:t xml:space="preserve">The above is achieved through the sum coded indicator matrix as illustrated further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r>
            <m:t>  </m:t>
          </m:r>
          <m:d>
            <m:dPr>
              <m:begChr m:val="("/>
              <m:endChr m:val=")"/>
              <m:sepChr m:val=""/>
              <m:grow/>
            </m:dPr>
            <m:e>
              <m:r>
                <m:t>7</m:t>
              </m:r>
            </m:e>
          </m:d>
        </m:oMath>
      </m:oMathPara>
    </w:p>
    <w:p>
      <w:pPr>
        <w:pStyle w:val="FirstParagraph"/>
      </w:pPr>
      <w:r>
        <w:t xml:space="preserve">Throughout this text when referring to the calculation of ASCA/ASCA+ model on simulated or real data the following model is calculated:</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M</m:t>
                    </m:r>
                  </m:e>
                  <m:sub>
                    <m:r>
                      <m:t>α</m:t>
                    </m:r>
                  </m:sub>
                </m:sSub>
                <m:r>
                  <m:rPr>
                    <m:sty m:val="p"/>
                  </m:rPr>
                  <m:t>+</m:t>
                </m:r>
                <m:sSub>
                  <m:e>
                    <m:r>
                      <m:rPr>
                        <m:sty m:val="b"/>
                      </m:rPr>
                      <m:t>M</m:t>
                    </m:r>
                  </m:e>
                  <m:sub>
                    <m:r>
                      <m:t>β</m:t>
                    </m:r>
                  </m:sub>
                </m:sSub>
                <m:r>
                  <m:rPr>
                    <m:sty m:val="p"/>
                  </m:rPr>
                  <m:t>+</m:t>
                </m:r>
                <m:sSub>
                  <m:e>
                    <m:r>
                      <m:rPr>
                        <m:sty m:val="b"/>
                      </m:rPr>
                      <m:t>M</m:t>
                    </m:r>
                  </m:e>
                  <m:sub>
                    <m:r>
                      <m:t>α</m:t>
                    </m:r>
                    <m:r>
                      <m:t>β</m:t>
                    </m:r>
                  </m:sub>
                </m:sSub>
                <m:r>
                  <m:rPr>
                    <m:sty m:val="p"/>
                  </m:rPr>
                  <m:t>+</m:t>
                </m:r>
                <m:r>
                  <m:rPr>
                    <m:sty m:val="b"/>
                  </m:rPr>
                  <m:t>E</m:t>
                </m:r>
              </m:e>
            </m:mr>
          </m:m>
          <m:r>
            <m:t>  </m:t>
          </m:r>
          <m:d>
            <m:dPr>
              <m:begChr m:val="("/>
              <m:endChr m:val=")"/>
              <m:sepChr m:val=""/>
              <m:grow/>
            </m:dPr>
            <m:e>
              <m:r>
                <m:t>8</m:t>
              </m:r>
            </m:e>
          </m:d>
        </m:oMath>
      </m:oMathPara>
    </w:p>
    <w:p>
      <w:pPr>
        <w:pStyle w:val="FirstParagraph"/>
      </w:pPr>
      <w:r>
        <w:t xml:space="preserve">With genes selected from: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acc>
                  <m:accPr>
                    <m:chr m:val="̂"/>
                  </m:accPr>
                  <m:e>
                    <m:r>
                      <m:rPr>
                        <m:sty m:val="b"/>
                      </m:rPr>
                      <m:t>Y</m:t>
                    </m:r>
                  </m:e>
                </m:acc>
                <m:r>
                  <m:rPr>
                    <m:sty m:val="p"/>
                  </m:rPr>
                  <m:t>=</m:t>
                </m:r>
              </m:e>
              <m:e>
                <m:sSub>
                  <m:e>
                    <m:r>
                      <m:rPr>
                        <m:sty m:val="b"/>
                      </m:rPr>
                      <m:t>M</m:t>
                    </m:r>
                  </m:e>
                  <m:sub>
                    <m:r>
                      <m:t>α</m:t>
                    </m:r>
                  </m:sub>
                </m:sSub>
                <m:r>
                  <m:rPr>
                    <m:sty m:val="p"/>
                  </m:rPr>
                  <m:t>+</m:t>
                </m:r>
                <m:sSub>
                  <m:e>
                    <m:r>
                      <m:rPr>
                        <m:sty m:val="b"/>
                      </m:rPr>
                      <m:t>M</m:t>
                    </m:r>
                  </m:e>
                  <m:sub>
                    <m:r>
                      <m:t>α</m:t>
                    </m:r>
                    <m:r>
                      <m:t>β</m:t>
                    </m:r>
                  </m:sub>
                </m:sSub>
                <m:r>
                  <m:rPr>
                    <m:sty m:val="p"/>
                  </m:rPr>
                  <m:t>=</m:t>
                </m:r>
              </m:e>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mr>
          </m:m>
          <m:r>
            <m:t>  </m:t>
          </m:r>
          <m:d>
            <m:dPr>
              <m:begChr m:val="("/>
              <m:endChr m:val=")"/>
              <m:sepChr m:val=""/>
              <m:grow/>
            </m:dPr>
            <m:e>
              <m:r>
                <m:t>9</m:t>
              </m:r>
            </m:e>
          </m:d>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d>
                  <m:dPr>
                    <m:begChr m:val="["/>
                    <m:endChr m:val="]"/>
                    <m:sepChr m:val=""/>
                    <m:grow/>
                  </m:dPr>
                  <m:e>
                    <m:acc>
                      <m:accPr>
                        <m:chr m:val="̃"/>
                      </m:accPr>
                      <m:e>
                        <m:r>
                          <m:rPr>
                            <m:sty m:val="b"/>
                          </m:rPr>
                          <m:t>Y</m:t>
                        </m:r>
                      </m:e>
                    </m:acc>
                    <m:r>
                      <m:rPr>
                        <m:sty m:val="p"/>
                      </m:rPr>
                      <m:t>|</m:t>
                    </m:r>
                    <m:r>
                      <m:rPr>
                        <m:sty m:val="b"/>
                      </m:rPr>
                      <m:t>B</m:t>
                    </m:r>
                  </m:e>
                </m:d>
              </m:e>
            </m:mr>
          </m:m>
          <m:r>
            <m:t>  </m:t>
          </m:r>
          <m:d>
            <m:dPr>
              <m:begChr m:val="("/>
              <m:endChr m:val=")"/>
              <m:sepChr m:val=""/>
              <m:grow/>
            </m:dPr>
            <m:e>
              <m:r>
                <m:t>10</m:t>
              </m:r>
            </m:e>
          </m:d>
        </m:oMath>
      </m:oMathPara>
    </w:p>
    <w:p>
      <w:pPr>
        <w:pStyle w:val="FirstParagraph"/>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r>
            <m:t>  </m:t>
          </m:r>
          <m:d>
            <m:dPr>
              <m:begChr m:val="("/>
              <m:endChr m:val=")"/>
              <m:sepChr m:val=""/>
              <m:grow/>
            </m:dPr>
            <m:e>
              <m:r>
                <m:t>11</m:t>
              </m:r>
            </m:e>
          </m:d>
        </m:oMath>
      </m:oMathPara>
    </w:p>
    <w:p>
      <w:pPr>
        <w:pStyle w:val="FirstParagraph"/>
      </w:pPr>
      <w:r>
        <w:t xml:space="preserve">This model is estimated in our work using the SIMPLS algorithm (</w:t>
      </w:r>
      <w:r>
        <w:t xml:space="preserve">(</w:t>
      </w:r>
      <w:hyperlink w:anchor="ref-dejongSIMPLSAlternativeApproach1993">
        <w:r>
          <w:rPr>
            <w:rStyle w:val="Hyperlink"/>
          </w:rPr>
          <w:t xml:space="preserve">20</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 weights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pStyle w:val="FirstParagraph"/>
      </w:pPr>
      <w:r>
        <w:t xml:space="preserve">Under the conditions of orthogonal scores;</w:t>
      </w:r>
      <w:r>
        <w:t xml:space="preserve"> </w:t>
      </w:r>
      <m:oMath>
        <m:sSubSup>
          <m:e>
            <m:r>
              <m:rPr>
                <m:sty m:val="b"/>
              </m:rPr>
              <m:t>t</m:t>
            </m:r>
          </m:e>
          <m:sub>
            <m:r>
              <m:t>k</m:t>
            </m:r>
          </m:sub>
          <m:sup>
            <m:r>
              <m:t>T</m:t>
            </m:r>
          </m:sup>
        </m:sSubSup>
        <m:sSub>
          <m:e>
            <m:r>
              <m:rPr>
                <m:sty m:val="b"/>
              </m:rPr>
              <m:t>t</m:t>
            </m:r>
          </m:e>
          <m:sub>
            <m:r>
              <m:t>k</m:t>
            </m:r>
          </m:sub>
        </m:sSub>
        <m:r>
          <m:rPr>
            <m:sty m:val="p"/>
          </m:rPr>
          <m:t>=</m:t>
        </m:r>
        <m:r>
          <m:t>0</m:t>
        </m:r>
      </m:oMath>
      <w:r>
        <w:t xml:space="preserve"> </w:t>
      </w:r>
      <w:r>
        <w:t xml:space="preserve">and normalised weights;</w:t>
      </w:r>
      <w:r>
        <w:t xml:space="preserve"> </w:t>
      </w:r>
      <m:oMath>
        <m:sSubSup>
          <m:e>
            <m:r>
              <m:rPr>
                <m:sty m:val="b"/>
              </m:rPr>
              <m:t>u</m:t>
            </m:r>
          </m:e>
          <m:sub>
            <m:r>
              <m:t>k</m:t>
            </m:r>
          </m:sub>
          <m:sup>
            <m:r>
              <m:t>T</m:t>
            </m:r>
          </m:sup>
        </m:sSubSup>
        <m:sSub>
          <m:e>
            <m:r>
              <m:rPr>
                <m:sty m:val="b"/>
              </m:rPr>
              <m:t>u</m:t>
            </m:r>
          </m:e>
          <m:sub>
            <m:r>
              <m:t>k</m:t>
            </m:r>
            <m:r>
              <m:t>​</m:t>
            </m:r>
          </m:sub>
        </m:sSub>
        <m:r>
          <m:rPr>
            <m:sty m:val="p"/>
          </m:rPr>
          <m:t>=</m:t>
        </m:r>
        <m:r>
          <m:t>1</m:t>
        </m:r>
      </m:oMath>
      <w:r>
        <w:t xml:space="preserve"> </w:t>
      </w:r>
      <w:r>
        <w:t xml:space="preserve">and</w:t>
      </w:r>
      <w:r>
        <w:t xml:space="preserve"> </w:t>
      </w:r>
      <m:oMath>
        <m:sSubSup>
          <m:e>
            <m:r>
              <m:rPr>
                <m:sty m:val="b"/>
              </m:rPr>
              <m:t>v</m:t>
            </m:r>
          </m:e>
          <m:sub>
            <m:r>
              <m:t>k</m:t>
            </m:r>
          </m:sub>
          <m:sup>
            <m:r>
              <m:t>T</m:t>
            </m:r>
          </m:sup>
        </m:sSubSup>
        <m:sSub>
          <m:e>
            <m:r>
              <m:rPr>
                <m:sty m:val="b"/>
              </m:rPr>
              <m:t>v</m:t>
            </m:r>
          </m:e>
          <m:sub>
            <m:r>
              <m:t>k</m:t>
            </m:r>
            <m:r>
              <m:t>​</m:t>
            </m:r>
          </m:sub>
        </m:sSub>
        <m:r>
          <m:rPr>
            <m:sty m:val="p"/>
          </m:rPr>
          <m:t>=</m:t>
        </m:r>
        <m:r>
          <m:t>1</m:t>
        </m:r>
      </m:oMath>
      <w:r>
        <w:t xml:space="preserve">.</w:t>
      </w:r>
    </w:p>
    <w:p>
      <w:pPr>
        <w:pStyle w:val="BodyText"/>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Para>
        <m:oMathParaPr>
          <m:jc m:val="center"/>
        </m:oMathParaPr>
        <m:oMath>
          <m:m>
            <m:mPr>
              <m:baseJc m:val="center"/>
              <m:plcHide m:val="1"/>
              <m:mcs>
                <m:mc>
                  <m:mcPr>
                    <m:mcJc m:val="right"/>
                    <m:count m:val="1"/>
                  </m:mcPr>
                </m:mc>
              </m:mcs>
            </m:mPr>
            <m:mr>
              <m:e>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e>
            </m:mr>
          </m:m>
          <m:r>
            <m:t>  </m:t>
          </m:r>
          <m:d>
            <m:dPr>
              <m:begChr m:val="("/>
              <m:endChr m:val=")"/>
              <m:sepChr m:val=""/>
              <m:grow/>
            </m:dPr>
            <m:e>
              <m:r>
                <m:t>12</m:t>
              </m:r>
            </m:e>
          </m:d>
        </m:oMath>
      </m:oMathPara>
    </w:p>
    <w:p>
      <w:pPr>
        <w:pStyle w:val="FirstParagraph"/>
      </w:pPr>
      <w:r>
        <w:t xml:space="preserve">Where k=1…K represents the number of components in the respective models, j indexes a gene,</w:t>
      </w:r>
      <w:r>
        <w:t xml:space="preserve"> </w:t>
      </w:r>
      <m:oMath>
        <m:r>
          <m:t>H</m:t>
        </m:r>
      </m:oMath>
      <w:r>
        <w:t xml:space="preserve"> </w:t>
      </w:r>
      <w:r>
        <w:t xml:space="preserve">is substituted for the loadings</w:t>
      </w:r>
      <w:r>
        <w:t xml:space="preserve"> </w:t>
      </w:r>
      <m:oMath>
        <m:sSubSup>
          <m:e>
            <m:r>
              <m:rPr>
                <m:sty m:val="b"/>
              </m:rPr>
              <m:t>P</m:t>
            </m:r>
          </m:e>
          <m:sub>
            <m:r>
              <m:t>α</m:t>
            </m:r>
            <m:r>
              <m:rPr>
                <m:sty m:val="p"/>
              </m:rPr>
              <m:t>+</m:t>
            </m:r>
            <m:r>
              <m:t>α</m:t>
            </m:r>
            <m:r>
              <m:t>β</m:t>
            </m:r>
          </m:sub>
          <m:sup>
            <m:r>
              <m:t>T</m:t>
            </m:r>
          </m:sup>
        </m:sSubSup>
      </m:oMath>
      <w:r>
        <w:t xml:space="preserve"> </w:t>
      </w:r>
      <w:r>
        <w:t xml:space="preserve">or weights</w:t>
      </w:r>
      <w:r>
        <w:t xml:space="preserve"> </w:t>
      </w:r>
      <m:oMath>
        <m:r>
          <m:rPr>
            <m:sty m:val="b"/>
          </m:rPr>
          <m:t>U</m:t>
        </m:r>
      </m:oMath>
      <w:r>
        <w:t xml:space="preserve"> </w:t>
      </w:r>
      <w:r>
        <w:t xml:space="preserve">(for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w:t>
      </w:r>
      <w:hyperlink w:anchor="ref-thielASCAAPCAExtensions2017">
        <w:r>
          <w:rPr>
            <w:rStyle w:val="Hyperlink"/>
          </w:rPr>
          <w:t xml:space="preserve">12</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0"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replicate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from equation (7) is substituted as</w:t>
      </w:r>
      <w:r>
        <w:t xml:space="preserve"> </w:t>
      </w:r>
      <m:oMath>
        <m:r>
          <m:rPr>
            <m:sty m:val="b"/>
          </m:rPr>
          <m:t>Y</m:t>
        </m:r>
      </m:oMath>
      <w:r>
        <w:t xml:space="preserve"> </w:t>
      </w:r>
      <w:r>
        <w:t xml:space="preserve">into PLS2 after being split into baits and remainder as per equation (10).</w:t>
      </w:r>
    </w:p>
    <w:p>
      <w:pPr>
        <w:pStyle w:val="BodyText"/>
      </w:pPr>
      <w:r>
        <w:t xml:space="preserve">The genes are ranked based on target projection (</w:t>
      </w:r>
      <w:r>
        <w:t xml:space="preserve">(</w:t>
      </w:r>
      <w:hyperlink w:anchor="Xf6b94e0f73326edb35ae19b864793f61a792cea">
        <w:r>
          <w:rPr>
            <w:rStyle w:val="Hyperlink"/>
          </w:rPr>
          <w:t xml:space="preserve">21</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only positive associations are considered here. This approach allows a general direction in the PLS space to be defined by multiple baits and assumes that these baits are highly correlated with one another.</w:t>
      </w:r>
    </w:p>
    <w:bookmarkEnd w:id="50"/>
    <w:bookmarkEnd w:id="51"/>
    <w:bookmarkStart w:id="52" w:name="Xb903a9c2533eb30015deee5d61559b4ef561382"/>
    <w:p>
      <w:pPr>
        <w:pStyle w:val="Heading2"/>
      </w:pPr>
      <w:r>
        <w:t xml:space="preserve">Performance evaluation; Log2 geometric mean rank</w:t>
      </w:r>
    </w:p>
    <w:p>
      <w:pPr>
        <w:pStyle w:val="FirstParagraph"/>
      </w:pPr>
      <w:r>
        <w:t xml:space="preserve">To evaluate performance we use</w:t>
      </w:r>
      <w:r>
        <w:t xml:space="preserve"> </w:t>
      </w:r>
      <m:oMath>
        <m:r>
          <m:t>l</m:t>
        </m:r>
        <m:r>
          <m:t>o</m:t>
        </m:r>
        <m:sSub>
          <m:e>
            <m:r>
              <m:t>g</m:t>
            </m:r>
          </m:e>
          <m:sub>
            <m:r>
              <m:t>2</m:t>
            </m:r>
          </m:sub>
        </m:sSub>
      </m:oMath>
      <w:r>
        <w:t xml:space="preserve"> </w:t>
      </w:r>
      <w:r>
        <w:t xml:space="preserve">geometric mean rank (</w:t>
      </w:r>
      <m:oMath>
        <m:r>
          <m:t>l</m:t>
        </m:r>
        <m:r>
          <m:t>o</m:t>
        </m:r>
        <m:sSub>
          <m:e>
            <m:r>
              <m:t>g</m:t>
            </m:r>
          </m:e>
          <m:sub>
            <m:r>
              <m:t>2</m:t>
            </m:r>
          </m:sub>
        </m:sSub>
        <m:d>
          <m:dPr>
            <m:begChr m:val="("/>
            <m:endChr m:val=")"/>
            <m:sepChr m:val=""/>
            <m:grow/>
          </m:dPr>
          <m:e>
            <m:r>
              <m:t>G</m:t>
            </m:r>
            <m:r>
              <m:t>M</m:t>
            </m:r>
            <m:r>
              <m:t>R</m:t>
            </m:r>
          </m:e>
        </m:d>
      </m:oMath>
      <w:r>
        <w:t xml:space="preserve">;</w:t>
      </w:r>
      <w:r>
        <w:t xml:space="preserve"> </w:t>
      </w:r>
      <m:oMath>
        <m:acc>
          <m:accPr>
            <m:chr m:val="‾"/>
          </m:accPr>
          <m:e>
            <m:r>
              <m:t>γ</m:t>
            </m:r>
          </m:e>
        </m:acc>
      </m:oMath>
      <w:r>
        <w:t xml:space="preserve">), defined as:</w:t>
      </w:r>
    </w:p>
    <w:p>
      <w:pPr>
        <w:pStyle w:val="BodyText"/>
      </w:pPr>
      <m:oMathPara>
        <m:oMathParaPr>
          <m:jc m:val="center"/>
        </m:oMathParaPr>
        <m:oMath>
          <m:m>
            <m:mPr>
              <m:baseJc m:val="center"/>
              <m:plcHide m:val="1"/>
              <m:mcs>
                <m:mc>
                  <m:mcPr>
                    <m:mcJc m:val="right"/>
                    <m:count m:val="1"/>
                  </m:mcPr>
                </m:mc>
              </m:mcs>
            </m:mPr>
            <m:mr>
              <m:e>
                <m:acc>
                  <m:accPr>
                    <m:chr m:val="‾"/>
                  </m:accPr>
                  <m:e>
                    <m:r>
                      <m:t>γ</m:t>
                    </m:r>
                  </m:e>
                </m:acc>
                <m:r>
                  <m:rPr>
                    <m:sty m:val="p"/>
                  </m:rPr>
                  <m:t>=</m:t>
                </m:r>
                <m:r>
                  <m:t>l</m:t>
                </m:r>
                <m:r>
                  <m:t>o</m:t>
                </m:r>
                <m:sSub>
                  <m:e>
                    <m:r>
                      <m:t>g</m:t>
                    </m:r>
                  </m:e>
                  <m:sub>
                    <m:r>
                      <m:t>2</m:t>
                    </m:r>
                  </m:sub>
                </m:sSub>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e>
            </m:mr>
          </m:m>
          <m:r>
            <m:t>  </m:t>
          </m:r>
          <m:d>
            <m:dPr>
              <m:begChr m:val="("/>
              <m:endChr m:val=")"/>
              <m:sepChr m:val=""/>
              <m:grow/>
            </m:dPr>
            <m:e>
              <m:r>
                <m:t>13</m:t>
              </m:r>
            </m:e>
          </m:d>
        </m:oMath>
      </m:oMathPara>
    </w:p>
    <w:p>
      <w:pPr>
        <w:pStyle w:val="FirstParagraph"/>
      </w:pP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acc>
          <m:accPr>
            <m:chr m:val="‾"/>
          </m:accPr>
          <m:e>
            <m:r>
              <m:t>γ</m:t>
            </m:r>
          </m:e>
        </m:acc>
      </m:oMath>
      <w:r>
        <w:t xml:space="preserve"> </w:t>
      </w:r>
      <w:r>
        <w:t xml:space="preserve">indicates better performance.</w:t>
      </w:r>
    </w:p>
    <w:bookmarkEnd w:id="52"/>
    <w:bookmarkEnd w:id="53"/>
    <w:bookmarkStart w:id="64" w:name="results"/>
    <w:p>
      <w:pPr>
        <w:pStyle w:val="Heading1"/>
      </w:pPr>
      <w:r>
        <w:t xml:space="preserve">Results</w:t>
      </w:r>
    </w:p>
    <w:bookmarkStart w:id="58"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ambient/residual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 genes are expected to share some variance that is independent to the experiment,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title="" id="55" name="Picture"/>
            <a:graphic>
              <a:graphicData uri="http://schemas.openxmlformats.org/drawingml/2006/picture">
                <pic:pic>
                  <pic:nvPicPr>
                    <pic:cNvPr descr="Paper_markdown_files/figure-docx/tc-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tc"/>
      <w:bookmarkEnd w:id="57"/>
      <w:r>
        <w:t xml:space="preserve">Figure 6: Results of simulation 1 for all 4 methods. Log2 geometric mean rank (log2(GMR)) as a function of the number of differentially expressed URP genes (x-axis) and combined effect size (y axis);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lower log2(GMR); dark blue, indicates better performance. ASCA model calculated per equation (8), PLS model per equation (11).</w:t>
      </w:r>
    </w:p>
    <w:p>
      <w:pPr>
        <w:pStyle w:val="BodyText"/>
      </w:pPr>
      <w:r>
        <w:t xml:space="preserve">We can see in Figure</w:t>
      </w:r>
      <w:r>
        <w:t xml:space="preserve"> </w:t>
      </w:r>
      <w:r>
        <w:t xml:space="preserve">6</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bookmarkEnd w:id="58"/>
    <w:bookmarkStart w:id="63" w:name="simulation-2-replication"/>
    <w:p>
      <w:pPr>
        <w:pStyle w:val="Heading2"/>
      </w:pPr>
      <w:r>
        <w:t xml:space="preserve">Simulation 2: Replication</w:t>
      </w:r>
    </w:p>
    <w:p>
      <w:pPr>
        <w:pStyle w:val="CaptionedFigure"/>
      </w:pPr>
      <w:r>
        <w:drawing>
          <wp:inline>
            <wp:extent cx="5334000" cy="3291840"/>
            <wp:effectExtent b="0" l="0" r="0" t="0"/>
            <wp:docPr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title="" id="60" name="Picture"/>
            <a:graphic>
              <a:graphicData uri="http://schemas.openxmlformats.org/drawingml/2006/picture">
                <pic:pic>
                  <pic:nvPicPr>
                    <pic:cNvPr descr="replication_res.png" id="61" name="Picture"/>
                    <pic:cNvPicPr>
                      <a:picLocks noChangeArrowheads="1" noChangeAspect="1"/>
                    </pic:cNvPicPr>
                  </pic:nvPicPr>
                  <pic:blipFill>
                    <a:blip r:embed="rId5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2" w:name="fig:repres"/>
      <w:bookmarkEnd w:id="62"/>
      <w:r>
        <w:t xml:space="preserve">Figure 7: Simulation 2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 ASCA model calculated per equation (8), PLS model per equation (11).</w:t>
      </w:r>
    </w:p>
    <w:p>
      <w:pPr>
        <w:pStyle w:val="BodyText"/>
      </w:pPr>
      <w:r>
        <w:t xml:space="preserve">It was expected that all geometric mean ranks converge towards a minimum with increasing numbers of replicates, see</w:t>
      </w:r>
      <w:r>
        <w:t xml:space="preserve"> </w:t>
      </w:r>
      <w:r>
        <w:t xml:space="preserve">7</w:t>
      </w:r>
      <w:r>
        <w:t xml:space="preserve">.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w:t>
      </w:r>
      <w:r>
        <w:t xml:space="preserve"> </w:t>
      </w:r>
      <w:r>
        <w:rPr>
          <w:iCs/>
          <w:i/>
        </w:rPr>
        <w:t xml:space="preserve">d</w:t>
      </w:r>
      <w:r>
        <w:t xml:space="preserve"> </w:t>
      </w:r>
      <w:r>
        <w:t xml:space="preserve">(larger combined effect size) (CE) MASCARA outperforms the other methods but its performance is affected by amount of random noise (E) size indicated by</w:t>
      </w:r>
      <w:r>
        <w:t xml:space="preserve"> </w:t>
      </w:r>
      <w:r>
        <w:rPr>
          <w:iCs/>
          <w:i/>
        </w:rPr>
        <w:t xml:space="preserve">l</w:t>
      </w:r>
      <w:r>
        <w:t xml:space="preserv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6</w:t>
      </w:r>
      <w:r>
        <w:t xml:space="preserve">) higher numbers of DE URP genes results in higher log2 geometric mean rank (log2(GMR)) of the spikes for correlations, ASCA and PLS. MASCARA is designed specifically to mitigate the effect of large numbers of DE URP genes. Here we show that this is achieved.</w:t>
      </w:r>
    </w:p>
    <w:bookmarkEnd w:id="63"/>
    <w:bookmarkEnd w:id="64"/>
    <w:bookmarkStart w:id="73"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POI genes that is caused by independent non-controlled ambient factors.</w:t>
      </w:r>
    </w:p>
    <w:p>
      <w:pPr>
        <w:pStyle w:val="BodyText"/>
      </w:pPr>
      <w:r>
        <w:t xml:space="preserve">Here we illustrate an application of MASCARA to the dataset from</w:t>
      </w:r>
      <w:r>
        <w:t xml:space="preserve"> </w:t>
      </w:r>
      <w:r>
        <w:t xml:space="preserve">(</w:t>
      </w:r>
      <w:hyperlink w:anchor="Xc2b17888754b4d684e1893820af32b0e8e89a94">
        <w:r>
          <w:rPr>
            <w:rStyle w:val="Hyperlink"/>
          </w:rPr>
          <w:t xml:space="preserve">5</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w:t>
      </w:r>
      <w:r>
        <w:t xml:space="preserve"> </w:t>
      </w:r>
      <w:r>
        <w:t xml:space="preserve">8</w:t>
      </w:r>
      <w:r>
        <w:t xml:space="preserve"> </w:t>
      </w:r>
      <w:r>
        <w:t xml:space="preserve">where the blue distribution indicates correlations between residuals of the 9 POI transcripts from Figures</w:t>
      </w:r>
      <w:r>
        <w:t xml:space="preserve"> </w:t>
      </w:r>
      <w:r>
        <w:t xml:space="preserve">3</w:t>
      </w:r>
      <w:r>
        <w:t xml:space="preserve"> </w:t>
      </w:r>
      <w:r>
        <w:t xml:space="preserve">and</w:t>
      </w:r>
      <w:r>
        <w:t xml:space="preserve"> </w:t>
      </w:r>
      <w:r>
        <w:t xml:space="preserve">4</w:t>
      </w:r>
      <w:r>
        <w:t xml:space="preserve"> </w:t>
      </w:r>
      <w:r>
        <w:t xml:space="preserve">and the red indicates correlations between residuals of these 9 and top DE URP genes.</w:t>
      </w:r>
    </w:p>
    <w:p>
      <w:pPr>
        <w:pStyle w:val="CaptionedFigure"/>
      </w:pPr>
      <w:r>
        <w:drawing>
          <wp:inline>
            <wp:extent cx="4620126" cy="3696101"/>
            <wp:effectExtent b="0" l="0" r="0" t="0"/>
            <wp:docPr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title="" id="66" name="Picture"/>
            <a:graphic>
              <a:graphicData uri="http://schemas.openxmlformats.org/drawingml/2006/picture">
                <pic:pic>
                  <pic:nvPicPr>
                    <pic:cNvPr descr="Paper_markdown_files/figure-docx/residualdist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residualdists"/>
      <w:bookmarkEnd w:id="68"/>
      <w:r>
        <w:t xml:space="preserve">Figure 8: Distributions of Fisher transformed Pearson correlations (supplementary equation (15)) in residuals from the ASCA model on the data from</w:t>
      </w:r>
      <w:r>
        <w:t xml:space="preserve"> </w:t>
      </w:r>
      <w:r>
        <w:t xml:space="preserve">(</w:t>
      </w:r>
      <w:hyperlink w:anchor="Xc2b17888754b4d684e1893820af32b0e8e89a94">
        <w:r>
          <w:rPr>
            <w:rStyle w:val="Hyperlink"/>
          </w:rPr>
          <w:t xml:space="preserve">5</w:t>
        </w:r>
      </w:hyperlink>
      <w:r>
        <w:t xml:space="preserve">)</w:t>
      </w:r>
      <w:r>
        <w:t xml:space="preserve">. Blue indicates correlations between SL pathway genes, red indicates correlations between SL pathway genes and top 10% DE URP genes (upregulated in P- over P+).</w:t>
      </w:r>
    </w:p>
    <w:p>
      <w:pPr>
        <w:pStyle w:val="BodyText"/>
      </w:pPr>
      <w:r>
        <w:t xml:space="preserve">Some example top coexpression candidate genes are shown in Figure</w:t>
      </w:r>
      <w:r>
        <w:t xml:space="preserve"> </w:t>
      </w:r>
      <w:r>
        <w:t xml:space="preserve">9</w:t>
      </w:r>
      <w:r>
        <w:t xml:space="preserve">.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synthesis genes. MASCARA also detected genes linked to Gibberellins (GA) preferentially to general phosphate starvation genes. The GA pathway has been linked to the strigolactones (</w:t>
      </w:r>
      <w:r>
        <w:t xml:space="preserve">(</w:t>
      </w:r>
      <w:hyperlink w:anchor="Xbd25994ee0f44976988919f4c291e7808fe56a3">
        <w:r>
          <w:rPr>
            <w:rStyle w:val="Hyperlink"/>
          </w:rPr>
          <w:t xml:space="preserve">22</w:t>
        </w:r>
      </w:hyperlink>
      <w:r>
        <w:t xml:space="preserve">)</w:t>
      </w:r>
      <w:r>
        <w:t xml:space="preserve">,</w:t>
      </w:r>
      <w:r>
        <w:t xml:space="preserve"> </w:t>
      </w:r>
      <w:r>
        <w:t xml:space="preserve">(</w:t>
      </w:r>
      <w:hyperlink w:anchor="Xea043edabf8aaad9d19b1e892525d9fffe3a696">
        <w:r>
          <w:rPr>
            <w:rStyle w:val="Hyperlink"/>
          </w:rPr>
          <w:t xml:space="preserve">23</w:t>
        </w:r>
      </w:hyperlink>
      <w:r>
        <w:t xml:space="preserve">)</w:t>
      </w:r>
      <w:r>
        <w:t xml:space="preserve">). The interaction between these two pathways has been characterised recently under nitrogen limitation by</w:t>
      </w:r>
      <w:r>
        <w:t xml:space="preserve"> </w:t>
      </w:r>
      <w:r>
        <w:t xml:space="preserve">(</w:t>
      </w:r>
      <w:hyperlink w:anchor="X2e16474dbff84e9966c63a78f86e923d201544c">
        <w:r>
          <w:rPr>
            <w:rStyle w:val="Hyperlink"/>
          </w:rPr>
          <w:t xml:space="preserve">24</w:t>
        </w:r>
      </w:hyperlink>
      <w:r>
        <w:t xml:space="preserve">)</w:t>
      </w:r>
      <w:r>
        <w:t xml:space="preserve">.</w:t>
      </w:r>
    </w:p>
    <w:p>
      <w:pPr>
        <w:pStyle w:val="CaptionedFigure"/>
      </w:pPr>
      <w:r>
        <w:drawing>
          <wp:inline>
            <wp:extent cx="5334000" cy="3190813"/>
            <wp:effectExtent b="0" l="0" r="0" t="0"/>
            <wp:docPr descr="Figure 9: Example candidates from A-C ranked correlations and D-F MASCARA. X axes; transformed expression level of one of the bait genes (CCD8), y axes; expression levels of three example coexpression candidates for each method (see (5) for preprocessing details)." title="" id="70" name="Picture"/>
            <a:graphic>
              <a:graphicData uri="http://schemas.openxmlformats.org/drawingml/2006/picture">
                <pic:pic>
                  <pic:nvPicPr>
                    <pic:cNvPr descr="within_between_example.png" id="71" name="Picture"/>
                    <pic:cNvPicPr>
                      <a:picLocks noChangeArrowheads="1" noChangeAspect="1"/>
                    </pic:cNvPicPr>
                  </pic:nvPicPr>
                  <pic:blipFill>
                    <a:blip r:embed="rId69"/>
                    <a:stretch>
                      <a:fillRect/>
                    </a:stretch>
                  </pic:blipFill>
                  <pic:spPr bwMode="auto">
                    <a:xfrm>
                      <a:off x="0" y="0"/>
                      <a:ext cx="5334000" cy="3190813"/>
                    </a:xfrm>
                    <a:prstGeom prst="rect">
                      <a:avLst/>
                    </a:prstGeom>
                    <a:noFill/>
                    <a:ln w="9525">
                      <a:noFill/>
                      <a:headEnd/>
                      <a:tailEnd/>
                    </a:ln>
                  </pic:spPr>
                </pic:pic>
              </a:graphicData>
            </a:graphic>
          </wp:inline>
        </w:drawing>
      </w:r>
    </w:p>
    <w:p>
      <w:pPr>
        <w:pStyle w:val="ImageCaption"/>
      </w:pPr>
      <w:bookmarkStart w:id="72" w:name="fig:realcandidates"/>
      <w:bookmarkEnd w:id="72"/>
      <w:r>
        <w:t xml:space="preserve">Figure 9: Example candidates from A-C ranked correlations and D-F MASCARA. X axes; transformed expression level of one of the bait genes (CCD8), y axes; expression levels of three example coexpression candidates for each method (see</w:t>
      </w:r>
      <w:r>
        <w:t xml:space="preserve"> </w:t>
      </w:r>
      <w:r>
        <w:t xml:space="preserve">(</w:t>
      </w:r>
      <w:hyperlink w:anchor="Xc2b17888754b4d684e1893820af32b0e8e89a94">
        <w:r>
          <w:rPr>
            <w:rStyle w:val="Hyperlink"/>
          </w:rPr>
          <w:t xml:space="preserve">5</w:t>
        </w:r>
      </w:hyperlink>
      <w:r>
        <w:t xml:space="preserve">)</w:t>
      </w:r>
      <w:r>
        <w:t xml:space="preserve"> </w:t>
      </w:r>
      <w:r>
        <w:t xml:space="preserve">for preprocessing details).</w:t>
      </w:r>
    </w:p>
    <w:bookmarkEnd w:id="73"/>
    <w:bookmarkStart w:id="74"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w:t>
      </w:r>
      <w:hyperlink w:anchor="Xaca7e11f7e5f0a0465524ca94b5740f80e57dcd">
        <w:r>
          <w:rPr>
            <w:rStyle w:val="Hyperlink"/>
          </w:rPr>
          <w:t xml:space="preserve">11</w:t>
        </w:r>
      </w:hyperlink>
      <w:r>
        <w:t xml:space="preserve">)</w:t>
      </w:r>
      <w:r>
        <w:t xml:space="preserve">,</w:t>
      </w:r>
      <w:r>
        <w:t xml:space="preserve"> </w:t>
      </w:r>
      <w:r>
        <w:t xml:space="preserve">(</w:t>
      </w:r>
      <w:hyperlink w:anchor="ref-thielASCAAPCAExtensions2017">
        <w:r>
          <w:rPr>
            <w:rStyle w:val="Hyperlink"/>
          </w:rPr>
          <w:t xml:space="preserve">12</w:t>
        </w:r>
      </w:hyperlink>
      <w:r>
        <w:t xml:space="preserve">)</w:t>
      </w:r>
      <w:r>
        <w:t xml:space="preserve">) and PLS (</w:t>
      </w:r>
      <w:r>
        <w:t xml:space="preserve">(</w:t>
      </w:r>
      <w:hyperlink w:anchor="ref-woldCollinearityProblemLinear1984">
        <w:r>
          <w:rPr>
            <w:rStyle w:val="Hyperlink"/>
          </w:rPr>
          <w:t xml:space="preserve">9</w:t>
        </w:r>
      </w:hyperlink>
      <w:r>
        <w:t xml:space="preserve">)</w:t>
      </w:r>
      <w:r>
        <w:t xml:space="preserve">) are all affected by dominant experimental between-group variance, which is a common occurrence in experimental data, exemplified here by the dataset from</w:t>
      </w:r>
      <w:r>
        <w:t xml:space="preserve"> </w:t>
      </w:r>
      <w:r>
        <w:t xml:space="preserve">(</w:t>
      </w:r>
      <w:hyperlink w:anchor="Xc2b17888754b4d684e1893820af32b0e8e89a94">
        <w:r>
          <w:rPr>
            <w:rStyle w:val="Hyperlink"/>
          </w:rPr>
          <w:t xml:space="preserve">5</w:t>
        </w:r>
      </w:hyperlink>
      <w:r>
        <w:t xml:space="preserve">)</w:t>
      </w:r>
      <w:r>
        <w:t xml:space="preserve"> </w:t>
      </w:r>
      <w:r>
        <w:t xml:space="preserve">but discussed elsewhere (</w:t>
      </w:r>
      <w:r>
        <w:t xml:space="preserve">(</w:t>
      </w:r>
      <w:hyperlink w:anchor="Xcc71cd2df4032d63494e28c6a7921129da1c090">
        <w:r>
          <w:rPr>
            <w:rStyle w:val="Hyperlink"/>
          </w:rPr>
          <w:t xml:space="preserve">25</w:t>
        </w:r>
      </w:hyperlink>
      <w:r>
        <w:t xml:space="preserve">)</w:t>
      </w:r>
      <w:r>
        <w:t xml:space="preserve">,</w:t>
      </w:r>
      <w:r>
        <w:t xml:space="preserve"> </w:t>
      </w:r>
      <w:r>
        <w:t xml:space="preserve">(</w:t>
      </w:r>
      <w:hyperlink w:anchor="ref-zhaoWeightedGeneCoexpression2010">
        <w:r>
          <w:rPr>
            <w:rStyle w:val="Hyperlink"/>
          </w:rPr>
          <w:t xml:space="preserve">26</w:t>
        </w:r>
      </w:hyperlink>
      <w:r>
        <w:t xml:space="preserve">)</w:t>
      </w:r>
      <w:r>
        <w:t xml:space="preserve">,</w:t>
      </w:r>
      <w:r>
        <w:t xml:space="preserve"> </w:t>
      </w:r>
      <w:r>
        <w:t xml:space="preserve">(</w:t>
      </w:r>
      <w:hyperlink w:anchor="X3e57ed0fe141b4b17e403de16a66af40da9b626">
        <w:r>
          <w:rPr>
            <w:rStyle w:val="Hyperlink"/>
          </w:rPr>
          <w:t xml:space="preserve">27</w:t>
        </w:r>
      </w:hyperlink>
      <w:r>
        <w:t xml:space="preserve">)</w:t>
      </w:r>
      <w:r>
        <w:t xml:space="preserve">).</w:t>
      </w:r>
    </w:p>
    <w:p>
      <w:pPr>
        <w:pStyle w:val="BodyText"/>
      </w:pPr>
      <w:r>
        <w:t xml:space="preserve">The feature selection stage of MASCARA uses an average vector constructed from the loadings of the baits onto which the loadings of other genes are projected. This approach is similar to target projection in</w:t>
      </w:r>
      <w:r>
        <w:t xml:space="preserve"> </w:t>
      </w:r>
      <w:r>
        <w:t xml:space="preserve">(</w:t>
      </w:r>
      <w:hyperlink w:anchor="Xf6b94e0f73326edb35ae19b864793f61a792cea">
        <w:r>
          <w:rPr>
            <w:rStyle w:val="Hyperlink"/>
          </w:rPr>
          <w:t xml:space="preserve">21</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w:t>
      </w:r>
      <w:hyperlink w:anchor="ref-rajalahtiBiomarkerDiscoveryMass2009">
        <w:r>
          <w:rPr>
            <w:rStyle w:val="Hyperlink"/>
          </w:rPr>
          <w:t xml:space="preserve">28</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as an extension of Kvalheim’s target projection in PLS1 models</w:t>
      </w:r>
      <w:r>
        <w:t xml:space="preserve"> </w:t>
      </w:r>
      <w:r>
        <w:t xml:space="preserve">(</w:t>
      </w:r>
      <w:hyperlink w:anchor="Xf6b94e0f73326edb35ae19b864793f61a792cea">
        <w:r>
          <w:rPr>
            <w:rStyle w:val="Hyperlink"/>
          </w:rPr>
          <w:t xml:space="preserve">21</w:t>
        </w:r>
      </w:hyperlink>
      <w:r>
        <w:t xml:space="preserve">)</w:t>
      </w:r>
      <w:r>
        <w:t xml:space="preserve">,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w:t>
      </w:r>
      <w:hyperlink w:anchor="Xe7babcb509b3ef554dc77224d7bc0c8531e51b3">
        <w:r>
          <w:rPr>
            <w:rStyle w:val="Hyperlink"/>
          </w:rPr>
          <w:t xml:space="preserve">29</w:t>
        </w:r>
      </w:hyperlink>
      <w:r>
        <w:t xml:space="preserve">)</w:t>
      </w:r>
      <w:r>
        <w:t xml:space="preserve"> </w:t>
      </w:r>
      <w:r>
        <w:t xml:space="preserve">where different combinations of experimental factors show different within-group correlation structures. This type of relationship can be seen in Figure</w:t>
      </w:r>
      <w:r>
        <w:t xml:space="preserve"> </w:t>
      </w:r>
      <w:r>
        <w:t xml:space="preserve">9</w:t>
      </w:r>
      <w:r>
        <w:t xml:space="preserve"> </w:t>
      </w:r>
      <w:r>
        <w:t xml:space="preserve">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4"/>
    <w:bookmarkStart w:id="75" w:name="acknowledgements"/>
    <w:p>
      <w:pPr>
        <w:pStyle w:val="Heading1"/>
      </w:pPr>
      <w:r>
        <w:t xml:space="preserve">Acknowledgements</w:t>
      </w:r>
    </w:p>
    <w:p>
      <w:pPr>
        <w:pStyle w:val="FirstParagraph"/>
      </w:pPr>
      <w:r>
        <w:t xml:space="preserve">We acknowledge funding by the Dutch Research Council (NWO/OCW) for the MiCRop Consortium program, Harnessing the second genome of plants (Grant number 024.004.014; to HB, LD, AKS, JAW), the Dutch Research Council (NWO-TTW) Holland Innovative Potato (grant 16873; to HB, LD, FW) and the Data Science Centre of the University of Amsterdam (to FW). FW would like to thank Frans van der Kloet, Fentaw Abegaz, Roel van der Ploeg for statistical discussions and Imran Haider for consultation on the strigolactone pathway.</w:t>
      </w:r>
    </w:p>
    <w:bookmarkEnd w:id="75"/>
    <w:bookmarkStart w:id="133" w:name="references"/>
    <w:p>
      <w:pPr>
        <w:pStyle w:val="Heading1"/>
      </w:pPr>
      <w:r>
        <w:t xml:space="preserve">References</w:t>
      </w:r>
    </w:p>
    <w:bookmarkStart w:id="132" w:name="refs"/>
    <w:bookmarkStart w:id="77" w:name="X6fa5e42e8bb074aaef1f9066b87c01d4c455181"/>
    <w:p>
      <w:pPr>
        <w:pStyle w:val="Bibliography"/>
      </w:pPr>
      <w:r>
        <w:t xml:space="preserve">1.</w:t>
      </w:r>
      <w:r>
        <w:t xml:space="preserve"> </w:t>
      </w:r>
      <w:r>
        <w:t xml:space="preserve">	</w:t>
      </w:r>
      <w:r>
        <w:t xml:space="preserve">Anders S, Huber W.</w:t>
      </w:r>
      <w:r>
        <w:t xml:space="preserve"> </w:t>
      </w:r>
      <w:hyperlink r:id="rId76">
        <w:r>
          <w:rPr>
            <w:rStyle w:val="Hyperlink"/>
          </w:rPr>
          <w:t xml:space="preserve">Differential expression analysis for sequence count data</w:t>
        </w:r>
      </w:hyperlink>
      <w:r>
        <w:t xml:space="preserve">. Nat Prec. 2010 Mar 15;1–1.</w:t>
      </w:r>
      <w:r>
        <w:t xml:space="preserve"> </w:t>
      </w:r>
    </w:p>
    <w:bookmarkEnd w:id="77"/>
    <w:bookmarkStart w:id="79" w:name="ref-robinsonEdgeRBioconductorPackage2010"/>
    <w:p>
      <w:pPr>
        <w:pStyle w:val="Bibliography"/>
      </w:pPr>
      <w:r>
        <w:t xml:space="preserve">2.</w:t>
      </w:r>
      <w:r>
        <w:t xml:space="preserve"> </w:t>
      </w:r>
      <w:r>
        <w:t xml:space="preserve">	</w:t>
      </w:r>
      <w:r>
        <w:t xml:space="preserve">Robinson MD, McCarthy DJ, Smyth GK.</w:t>
      </w:r>
      <w:r>
        <w:t xml:space="preserve"> </w:t>
      </w:r>
      <w:hyperlink r:id="rId78">
        <w:r>
          <w:rPr>
            <w:rStyle w:val="Hyperlink"/>
          </w:rPr>
          <w:t xml:space="preserve">edgeR: a Bioconductor package for differential expression analysis of digital gene expression data</w:t>
        </w:r>
      </w:hyperlink>
      <w:r>
        <w:t xml:space="preserve">. Bioinformatics. 2010 Jan 1;26(1):139–40.</w:t>
      </w:r>
      <w:r>
        <w:t xml:space="preserve"> </w:t>
      </w:r>
    </w:p>
    <w:bookmarkEnd w:id="79"/>
    <w:bookmarkStart w:id="81" w:name="ref-langfelderWGCNAPackageWeighted2008"/>
    <w:p>
      <w:pPr>
        <w:pStyle w:val="Bibliography"/>
      </w:pPr>
      <w:r>
        <w:t xml:space="preserve">3.</w:t>
      </w:r>
      <w:r>
        <w:t xml:space="preserve"> </w:t>
      </w:r>
      <w:r>
        <w:t xml:space="preserve">	</w:t>
      </w:r>
      <w:r>
        <w:t xml:space="preserve">Langfelder P, Horvath S.</w:t>
      </w:r>
      <w:r>
        <w:t xml:space="preserve"> </w:t>
      </w:r>
      <w:hyperlink r:id="rId80">
        <w:r>
          <w:rPr>
            <w:rStyle w:val="Hyperlink"/>
          </w:rPr>
          <w:t xml:space="preserve">WGCNA: an R package for weighted correlation network analysis</w:t>
        </w:r>
      </w:hyperlink>
      <w:r>
        <w:t xml:space="preserve">. BMC Bioinformatics. 2008 Dec 29;9(1):559.</w:t>
      </w:r>
      <w:r>
        <w:t xml:space="preserve"> </w:t>
      </w:r>
    </w:p>
    <w:bookmarkEnd w:id="81"/>
    <w:bookmarkStart w:id="83" w:name="X50bc0c3b60103ad8bb1cb40c349e8e66acca303"/>
    <w:p>
      <w:pPr>
        <w:pStyle w:val="Bibliography"/>
      </w:pPr>
      <w:r>
        <w:t xml:space="preserve">4.</w:t>
      </w:r>
      <w:r>
        <w:t xml:space="preserve"> </w:t>
      </w:r>
      <w:r>
        <w:t xml:space="preserve">	</w:t>
      </w:r>
      <w:r>
        <w:t xml:space="preserve">Tzfadia O, Diels T, De Meyer S, Vandepoele K, Aharoni A, Van de Peer Y.</w:t>
      </w:r>
      <w:r>
        <w:t xml:space="preserve"> </w:t>
      </w:r>
      <w:hyperlink r:id="rId82">
        <w:r>
          <w:rPr>
            <w:rStyle w:val="Hyperlink"/>
          </w:rPr>
          <w:t xml:space="preserve">CoExpNetViz: Comparative Co-Expression Networks Construction and Visualization Tool</w:t>
        </w:r>
      </w:hyperlink>
      <w:r>
        <w:t xml:space="preserve">. Frontiers in Plant Science. 2016;6.</w:t>
      </w:r>
      <w:r>
        <w:t xml:space="preserve"> </w:t>
      </w:r>
    </w:p>
    <w:bookmarkEnd w:id="83"/>
    <w:bookmarkStart w:id="85" w:name="Xc2b17888754b4d684e1893820af32b0e8e89a94"/>
    <w:p>
      <w:pPr>
        <w:pStyle w:val="Bibliography"/>
      </w:pPr>
      <w:r>
        <w:t xml:space="preserve">5.</w:t>
      </w:r>
      <w:r>
        <w:t xml:space="preserve"> </w:t>
      </w:r>
      <w:r>
        <w:t xml:space="preserve">	</w:t>
      </w:r>
      <w:r>
        <w:t xml:space="preserve">Haider I, Yunmeng Z, White F, Li C, Incitti R, Alam I, et al.</w:t>
      </w:r>
      <w:r>
        <w:t xml:space="preserve"> </w:t>
      </w:r>
      <w:hyperlink r:id="rId84">
        <w:r>
          <w:rPr>
            <w:rStyle w:val="Hyperlink"/>
          </w:rPr>
          <w:t xml:space="preserve">Transcriptome analysis of the phosphate starvation response sheds light on strigolactone biosynthesis in rice</w:t>
        </w:r>
      </w:hyperlink>
      <w:r>
        <w:t xml:space="preserve">. The Plant Journal. 2023;114(2):355–70.</w:t>
      </w:r>
      <w:r>
        <w:t xml:space="preserve"> </w:t>
      </w:r>
    </w:p>
    <w:bookmarkEnd w:id="85"/>
    <w:bookmarkStart w:id="87" w:name="ref-wangRoleStrigolactonesDeficiency2021"/>
    <w:p>
      <w:pPr>
        <w:pStyle w:val="Bibliography"/>
      </w:pPr>
      <w:r>
        <w:t xml:space="preserve">6.</w:t>
      </w:r>
      <w:r>
        <w:t xml:space="preserve"> </w:t>
      </w:r>
      <w:r>
        <w:t xml:space="preserve">	</w:t>
      </w:r>
      <w:r>
        <w:t xml:space="preserve">Wang Y, Duran HGS, van Haarst JC, Schijlen EGWM, Ruyter-Spira C, Medema MH, et al.</w:t>
      </w:r>
      <w:r>
        <w:t xml:space="preserve"> </w:t>
      </w:r>
      <w:hyperlink r:id="rId86">
        <w:r>
          <w:rPr>
            <w:rStyle w:val="Hyperlink"/>
          </w:rPr>
          <w:t xml:space="preserve">The role of strigolactones in P deficiency induced transcriptional changes in tomato roots</w:t>
        </w:r>
      </w:hyperlink>
      <w:r>
        <w:t xml:space="preserve">. BMC Plant Biol. 2021 Jul 23;21(1):349.</w:t>
      </w:r>
      <w:r>
        <w:t xml:space="preserve"> </w:t>
      </w:r>
    </w:p>
    <w:bookmarkEnd w:id="87"/>
    <w:bookmarkStart w:id="88" w:name="ref-saccentiWhatCanGo2023"/>
    <w:p>
      <w:pPr>
        <w:pStyle w:val="Bibliography"/>
      </w:pPr>
      <w:r>
        <w:t xml:space="preserve">7.</w:t>
      </w:r>
      <w:r>
        <w:t xml:space="preserve"> </w:t>
      </w:r>
      <w:r>
        <w:t xml:space="preserve">	</w:t>
      </w:r>
      <w:r>
        <w:t xml:space="preserve">Saccenti E. What can go wrong when observations are not independently and identically distributed: a cautionary note on calculating correlations on combined data sets from different experiments or conditions. Frontiers in Systems Biology. 2023;3:3.</w:t>
      </w:r>
      <w:r>
        <w:t xml:space="preserve"> </w:t>
      </w:r>
    </w:p>
    <w:bookmarkEnd w:id="88"/>
    <w:bookmarkStart w:id="90" w:name="Xd0e6c30a697db42abb2065af1a17da6eb418ea3"/>
    <w:p>
      <w:pPr>
        <w:pStyle w:val="Bibliography"/>
      </w:pPr>
      <w:r>
        <w:t xml:space="preserve">8.</w:t>
      </w:r>
      <w:r>
        <w:t xml:space="preserve"> </w:t>
      </w:r>
      <w:r>
        <w:t xml:space="preserve">	</w:t>
      </w:r>
      <w:r>
        <w:t xml:space="preserve">Geladi P, Kowalski BR.</w:t>
      </w:r>
      <w:r>
        <w:t xml:space="preserve"> </w:t>
      </w:r>
      <w:hyperlink r:id="rId89">
        <w:r>
          <w:rPr>
            <w:rStyle w:val="Hyperlink"/>
          </w:rPr>
          <w:t xml:space="preserve">Partial least-squares regression: a tutorial</w:t>
        </w:r>
      </w:hyperlink>
      <w:r>
        <w:t xml:space="preserve">. Analytica Chimica Acta. 1986 Jan 1;185:1–17.</w:t>
      </w:r>
      <w:r>
        <w:t xml:space="preserve"> </w:t>
      </w:r>
    </w:p>
    <w:bookmarkEnd w:id="90"/>
    <w:bookmarkStart w:id="92" w:name="ref-woldCollinearityProblemLinear1984"/>
    <w:p>
      <w:pPr>
        <w:pStyle w:val="Bibliography"/>
      </w:pPr>
      <w:r>
        <w:t xml:space="preserve">9.</w:t>
      </w:r>
      <w:r>
        <w:t xml:space="preserve"> </w:t>
      </w:r>
      <w:r>
        <w:t xml:space="preserve">	</w:t>
      </w:r>
      <w:r>
        <w:t xml:space="preserve">Wold S, Ruhe A, Wold H, Dunn, III WJ.</w:t>
      </w:r>
      <w:r>
        <w:t xml:space="preserve"> </w:t>
      </w:r>
      <w:hyperlink r:id="rId91">
        <w:r>
          <w:rPr>
            <w:rStyle w:val="Hyperlink"/>
          </w:rPr>
          <w:t xml:space="preserve">The Collinearity Problem in Linear Regression. The Partial Least Squares (PLS) Approach to Generalized Inverses</w:t>
        </w:r>
      </w:hyperlink>
      <w:r>
        <w:t xml:space="preserve">. SIAM J Sci and Stat Comput. 1984 Sep;5(3):735–43.</w:t>
      </w:r>
      <w:r>
        <w:t xml:space="preserve"> </w:t>
      </w:r>
    </w:p>
    <w:bookmarkEnd w:id="92"/>
    <w:bookmarkStart w:id="93" w:name="ref-searleLinearModels1971"/>
    <w:p>
      <w:pPr>
        <w:pStyle w:val="Bibliography"/>
      </w:pPr>
      <w:r>
        <w:t xml:space="preserve">10.</w:t>
      </w:r>
      <w:r>
        <w:t xml:space="preserve"> </w:t>
      </w:r>
      <w:r>
        <w:t xml:space="preserve">	</w:t>
      </w:r>
      <w:r>
        <w:t xml:space="preserve">Searle SR. Linear Models. John Wiley &amp; Sons; 1971. 565 p.</w:t>
      </w:r>
      <w:r>
        <w:t xml:space="preserve"> </w:t>
      </w:r>
    </w:p>
    <w:bookmarkEnd w:id="93"/>
    <w:bookmarkStart w:id="95" w:name="Xaca7e11f7e5f0a0465524ca94b5740f80e57dcd"/>
    <w:p>
      <w:pPr>
        <w:pStyle w:val="Bibliography"/>
      </w:pPr>
      <w:r>
        <w:t xml:space="preserve">11.</w:t>
      </w:r>
      <w:r>
        <w:t xml:space="preserve"> </w:t>
      </w:r>
      <w:r>
        <w:t xml:space="preserve">	</w:t>
      </w:r>
      <w:r>
        <w:t xml:space="preserve">Smilde AK, Jansen JJ, Hoefsloot HCJ, Lamers RJAN, van der Greef J, Timmerman ME.</w:t>
      </w:r>
      <w:r>
        <w:t xml:space="preserve"> </w:t>
      </w:r>
      <w:hyperlink r:id="rId94">
        <w:r>
          <w:rPr>
            <w:rStyle w:val="Hyperlink"/>
          </w:rPr>
          <w:t xml:space="preserve">ANOVA-simultaneous component analysis (ASCA): a new tool for analyzing designed metabolomics data</w:t>
        </w:r>
      </w:hyperlink>
      <w:r>
        <w:t xml:space="preserve">. Bioinformatics. 2005 Jul 1;21(13):3043–8.</w:t>
      </w:r>
      <w:r>
        <w:t xml:space="preserve"> </w:t>
      </w:r>
    </w:p>
    <w:bookmarkEnd w:id="95"/>
    <w:bookmarkStart w:id="97" w:name="ref-thielASCAAPCAExtensions2017"/>
    <w:p>
      <w:pPr>
        <w:pStyle w:val="Bibliography"/>
      </w:pPr>
      <w:r>
        <w:t xml:space="preserve">12.</w:t>
      </w:r>
      <w:r>
        <w:t xml:space="preserve"> </w:t>
      </w:r>
      <w:r>
        <w:t xml:space="preserve">	</w:t>
      </w:r>
      <w:r>
        <w:t xml:space="preserve">Thiel M, Féraud B, Govaerts B.</w:t>
      </w:r>
      <w:r>
        <w:t xml:space="preserve"> </w:t>
      </w:r>
      <w:hyperlink r:id="rId96">
        <w:r>
          <w:rPr>
            <w:rStyle w:val="Hyperlink"/>
          </w:rPr>
          <w:t xml:space="preserve">ASCA+ and APCA+: Extensions of ASCA and APCA in the analysis of unbalanced multifactorial designs</w:t>
        </w:r>
      </w:hyperlink>
      <w:r>
        <w:t xml:space="preserve">. Journal of Chemometrics. 2017;31(6):e2895.</w:t>
      </w:r>
      <w:r>
        <w:t xml:space="preserve"> </w:t>
      </w:r>
    </w:p>
    <w:bookmarkEnd w:id="97"/>
    <w:bookmarkStart w:id="99" w:name="ref-augerGeneCoexpressionNetwork2022"/>
    <w:p>
      <w:pPr>
        <w:pStyle w:val="Bibliography"/>
      </w:pPr>
      <w:r>
        <w:t xml:space="preserve">13.</w:t>
      </w:r>
      <w:r>
        <w:t xml:space="preserve"> </w:t>
      </w:r>
      <w:r>
        <w:t xml:space="preserve">	</w:t>
      </w:r>
      <w:r>
        <w:t xml:space="preserve">Auger S, Mournetas V, Chiapello H, Loux V, Langella P, Chatel JM.</w:t>
      </w:r>
      <w:r>
        <w:t xml:space="preserve"> </w:t>
      </w:r>
      <w:hyperlink r:id="rId98">
        <w:r>
          <w:rPr>
            <w:rStyle w:val="Hyperlink"/>
          </w:rPr>
          <w:t xml:space="preserve">Gene co-expression network analysis of the human gut commensal bacterium Faecalibacterium prausnitzii in R-Shiny</w:t>
        </w:r>
      </w:hyperlink>
      <w:r>
        <w:t xml:space="preserve">. PLOS ONE. 2022 Nov 18;17(11):e0271847.</w:t>
      </w:r>
      <w:r>
        <w:t xml:space="preserve"> </w:t>
      </w:r>
    </w:p>
    <w:bookmarkEnd w:id="99"/>
    <w:bookmarkStart w:id="101" w:name="ref-renRNABindingProteins2023"/>
    <w:p>
      <w:pPr>
        <w:pStyle w:val="Bibliography"/>
      </w:pPr>
      <w:r>
        <w:t xml:space="preserve">14.</w:t>
      </w:r>
      <w:r>
        <w:t xml:space="preserve"> </w:t>
      </w:r>
      <w:r>
        <w:t xml:space="preserve">	</w:t>
      </w:r>
      <w:r>
        <w:t xml:space="preserve">Ren F, Zhou Q, Meng Y, Guo W, Tang Q, Mei J.</w:t>
      </w:r>
      <w:r>
        <w:t xml:space="preserve"> </w:t>
      </w:r>
      <w:hyperlink r:id="rId100">
        <w:r>
          <w:rPr>
            <w:rStyle w:val="Hyperlink"/>
          </w:rPr>
          <w:t xml:space="preserve">RNA binding proteins are potential novel biomarkers of egg quality in yellow catfish</w:t>
        </w:r>
      </w:hyperlink>
      <w:r>
        <w:t xml:space="preserve">. BMC Genomics. 2023 Mar 16;24(1):121.</w:t>
      </w:r>
      <w:r>
        <w:t xml:space="preserve"> </w:t>
      </w:r>
    </w:p>
    <w:bookmarkEnd w:id="101"/>
    <w:bookmarkStart w:id="103" w:name="ref-nuedaDiscoveringGeneExpression2007"/>
    <w:p>
      <w:pPr>
        <w:pStyle w:val="Bibliography"/>
      </w:pPr>
      <w:r>
        <w:t xml:space="preserve">15.</w:t>
      </w:r>
      <w:r>
        <w:t xml:space="preserve"> </w:t>
      </w:r>
      <w:r>
        <w:t xml:space="preserve">	</w:t>
      </w:r>
      <w:r>
        <w:t xml:space="preserve">Nueda MJ, Conesa A, Westerhuis JA, Hoefsloot HCJ, Smilde AK, Talón M, et al.</w:t>
      </w:r>
      <w:r>
        <w:t xml:space="preserve"> </w:t>
      </w:r>
      <w:hyperlink r:id="rId102">
        <w:r>
          <w:rPr>
            <w:rStyle w:val="Hyperlink"/>
          </w:rPr>
          <w:t xml:space="preserve">Discovering gene expression patterns in time course microarray experiments by ANOVA–SCA</w:t>
        </w:r>
      </w:hyperlink>
      <w:r>
        <w:t xml:space="preserve">. Bioinformatics. 2007 Jul 15;23(14):1792–800.</w:t>
      </w:r>
      <w:r>
        <w:t xml:space="preserve"> </w:t>
      </w:r>
    </w:p>
    <w:bookmarkEnd w:id="103"/>
    <w:bookmarkStart w:id="105" w:name="ref-jarmundALASCAPackageLongitudinal2022"/>
    <w:p>
      <w:pPr>
        <w:pStyle w:val="Bibliography"/>
      </w:pPr>
      <w:r>
        <w:t xml:space="preserve">16.</w:t>
      </w:r>
      <w:r>
        <w:t xml:space="preserve"> </w:t>
      </w:r>
      <w:r>
        <w:t xml:space="preserve">	</w:t>
      </w:r>
      <w:r>
        <w:t xml:space="preserve">Jarmund AH, Madssen TS, Giskeødegård GF.</w:t>
      </w:r>
      <w:r>
        <w:t xml:space="preserve"> </w:t>
      </w:r>
      <w:hyperlink r:id="rId104">
        <w:r>
          <w:rPr>
            <w:rStyle w:val="Hyperlink"/>
          </w:rPr>
          <w:t xml:space="preserve">ALASCA: An R package for longitudinal and cross-sectional analysis of multivariate data by ASCA-based methods</w:t>
        </w:r>
      </w:hyperlink>
      <w:r>
        <w:t xml:space="preserve">. Frontiers in Molecular Biosciences. 2022;9.</w:t>
      </w:r>
      <w:r>
        <w:t xml:space="preserve"> </w:t>
      </w:r>
    </w:p>
    <w:bookmarkEnd w:id="105"/>
    <w:bookmarkStart w:id="107" w:name="ref-guanSRGSSparsePartial2022"/>
    <w:p>
      <w:pPr>
        <w:pStyle w:val="Bibliography"/>
      </w:pPr>
      <w:r>
        <w:t xml:space="preserve">17.</w:t>
      </w:r>
      <w:r>
        <w:t xml:space="preserve"> </w:t>
      </w:r>
      <w:r>
        <w:t xml:space="preserve">	</w:t>
      </w:r>
      <w:r>
        <w:t xml:space="preserve">Guan J, Wang Y, Wang Y, Zhuang Y, Ji G.</w:t>
      </w:r>
      <w:r>
        <w:t xml:space="preserve"> </w:t>
      </w:r>
      <w:hyperlink r:id="rId106">
        <w:r>
          <w:rPr>
            <w:rStyle w:val="Hyperlink"/>
          </w:rPr>
          <w:t xml:space="preserve">SRGS: sparse partial least squares-based recursive gene selection for gene regulatory network inference</w:t>
        </w:r>
      </w:hyperlink>
      <w:r>
        <w:t xml:space="preserve">. BMC Genomics. 2022 Nov 30;23(1):782.</w:t>
      </w:r>
      <w:r>
        <w:t xml:space="preserve"> </w:t>
      </w:r>
    </w:p>
    <w:bookmarkEnd w:id="107"/>
    <w:bookmarkStart w:id="109" w:name="ref-nuedaFunctionalAssessmentTime2009"/>
    <w:p>
      <w:pPr>
        <w:pStyle w:val="Bibliography"/>
      </w:pPr>
      <w:r>
        <w:t xml:space="preserve">18.</w:t>
      </w:r>
      <w:r>
        <w:t xml:space="preserve"> </w:t>
      </w:r>
      <w:r>
        <w:t xml:space="preserve">	</w:t>
      </w:r>
      <w:r>
        <w:t xml:space="preserve">Nueda MJ, Sebastián P, Tarazona S, García-García F, Dopazo J, Ferrer A, et al.</w:t>
      </w:r>
      <w:r>
        <w:t xml:space="preserve"> </w:t>
      </w:r>
      <w:hyperlink r:id="rId108">
        <w:r>
          <w:rPr>
            <w:rStyle w:val="Hyperlink"/>
          </w:rPr>
          <w:t xml:space="preserve">Functional assessment of time course microarray data</w:t>
        </w:r>
      </w:hyperlink>
      <w:r>
        <w:t xml:space="preserve">. BMC Bioinformatics. 2009 Jun 16;10(Suppl 6):S9.</w:t>
      </w:r>
      <w:r>
        <w:t xml:space="preserve"> </w:t>
      </w:r>
    </w:p>
    <w:bookmarkEnd w:id="109"/>
    <w:bookmarkStart w:id="111" w:name="ref-thissenImprovingAnalysisDesigned2009"/>
    <w:p>
      <w:pPr>
        <w:pStyle w:val="Bibliography"/>
      </w:pPr>
      <w:r>
        <w:t xml:space="preserve">19.</w:t>
      </w:r>
      <w:r>
        <w:t xml:space="preserve"> </w:t>
      </w:r>
      <w:r>
        <w:t xml:space="preserve">	</w:t>
      </w:r>
      <w:r>
        <w:t xml:space="preserve">Thissen U, Wopereis S, van den Berg SA, Bobeldijk I, Kleemann R, Kooistra T, et al.</w:t>
      </w:r>
      <w:r>
        <w:t xml:space="preserve"> </w:t>
      </w:r>
      <w:hyperlink r:id="rId110">
        <w:r>
          <w:rPr>
            <w:rStyle w:val="Hyperlink"/>
          </w:rPr>
          <w:t xml:space="preserve">Improving the analysis of designed studies by combining statistical modelling with study design information</w:t>
        </w:r>
      </w:hyperlink>
      <w:r>
        <w:t xml:space="preserve">. BMC Bioinformatics. 2009 Feb 7;10(1):52.</w:t>
      </w:r>
      <w:r>
        <w:t xml:space="preserve"> </w:t>
      </w:r>
    </w:p>
    <w:bookmarkEnd w:id="111"/>
    <w:bookmarkStart w:id="113" w:name="ref-dejongSIMPLSAlternativeApproach1993"/>
    <w:p>
      <w:pPr>
        <w:pStyle w:val="Bibliography"/>
      </w:pPr>
      <w:r>
        <w:t xml:space="preserve">20.</w:t>
      </w:r>
      <w:r>
        <w:t xml:space="preserve"> </w:t>
      </w:r>
      <w:r>
        <w:t xml:space="preserve">	</w:t>
      </w:r>
      <w:r>
        <w:t xml:space="preserve">de Jong S.</w:t>
      </w:r>
      <w:r>
        <w:t xml:space="preserve"> </w:t>
      </w:r>
      <w:hyperlink r:id="rId112">
        <w:r>
          <w:rPr>
            <w:rStyle w:val="Hyperlink"/>
          </w:rPr>
          <w:t xml:space="preserve">SIMPLS: An alternative approach to partial least squares regression</w:t>
        </w:r>
      </w:hyperlink>
      <w:r>
        <w:t xml:space="preserve">. Chemometrics and Intelligent Laboratory Systems. 1993 Mar 1;18(3):251–63.</w:t>
      </w:r>
      <w:r>
        <w:t xml:space="preserve"> </w:t>
      </w:r>
    </w:p>
    <w:bookmarkEnd w:id="113"/>
    <w:bookmarkStart w:id="115" w:name="Xf6b94e0f73326edb35ae19b864793f61a792cea"/>
    <w:p>
      <w:pPr>
        <w:pStyle w:val="Bibliography"/>
      </w:pPr>
      <w:r>
        <w:t xml:space="preserve">21.</w:t>
      </w:r>
      <w:r>
        <w:t xml:space="preserve"> </w:t>
      </w:r>
      <w:r>
        <w:t xml:space="preserve">	</w:t>
      </w:r>
      <w:r>
        <w:t xml:space="preserve">Kvalheim OM.</w:t>
      </w:r>
      <w:r>
        <w:t xml:space="preserve"> </w:t>
      </w:r>
      <w:hyperlink r:id="rId114">
        <w:r>
          <w:rPr>
            <w:rStyle w:val="Hyperlink"/>
          </w:rPr>
          <w:t xml:space="preserve">Interpretation of partial least squares regression models by means of target projection and selectivity ratio plots</w:t>
        </w:r>
      </w:hyperlink>
      <w:r>
        <w:t xml:space="preserve">. Journal of Chemometrics. 2010;24(7-8):496–504.</w:t>
      </w:r>
      <w:r>
        <w:t xml:space="preserve"> </w:t>
      </w:r>
    </w:p>
    <w:bookmarkEnd w:id="115"/>
    <w:bookmarkStart w:id="117" w:name="Xbd25994ee0f44976988919f4c291e7808fe56a3"/>
    <w:p>
      <w:pPr>
        <w:pStyle w:val="Bibliography"/>
      </w:pPr>
      <w:r>
        <w:t xml:space="preserve">22.</w:t>
      </w:r>
      <w:r>
        <w:t xml:space="preserve"> </w:t>
      </w:r>
      <w:r>
        <w:t xml:space="preserve">	</w:t>
      </w:r>
      <w:r>
        <w:t xml:space="preserve">Ito S, Yamagami D, Umehara M, Hanada A, Yoshida S, Sasaki Y, et al.</w:t>
      </w:r>
      <w:r>
        <w:t xml:space="preserve"> </w:t>
      </w:r>
      <w:hyperlink r:id="rId116">
        <w:r>
          <w:rPr>
            <w:rStyle w:val="Hyperlink"/>
          </w:rPr>
          <w:t xml:space="preserve">Regulation of Strigolactone Biosynthesis by Gibberellin Signaling</w:t>
        </w:r>
      </w:hyperlink>
      <w:r>
        <w:t xml:space="preserve">. Plant Physiol. 2017 Jun;174(2):1250–9.</w:t>
      </w:r>
      <w:r>
        <w:t xml:space="preserve"> </w:t>
      </w:r>
    </w:p>
    <w:bookmarkEnd w:id="117"/>
    <w:bookmarkStart w:id="119" w:name="Xea043edabf8aaad9d19b1e892525d9fffe3a696"/>
    <w:p>
      <w:pPr>
        <w:pStyle w:val="Bibliography"/>
      </w:pPr>
      <w:r>
        <w:t xml:space="preserve">23.</w:t>
      </w:r>
      <w:r>
        <w:t xml:space="preserve"> </w:t>
      </w:r>
      <w:r>
        <w:t xml:space="preserve">	</w:t>
      </w:r>
      <w:r>
        <w:t xml:space="preserve">Marzec M.</w:t>
      </w:r>
      <w:r>
        <w:t xml:space="preserve"> </w:t>
      </w:r>
      <w:hyperlink r:id="rId118">
        <w:r>
          <w:rPr>
            <w:rStyle w:val="Hyperlink"/>
          </w:rPr>
          <w:t xml:space="preserve">Strigolactones and Gibberellins: A New Couple in the Phytohormone World?</w:t>
        </w:r>
      </w:hyperlink>
      <w:r>
        <w:t xml:space="preserve"> Trends in Plant Science. 2017 Oct 1;22(10):813–5.</w:t>
      </w:r>
      <w:r>
        <w:t xml:space="preserve"> </w:t>
      </w:r>
    </w:p>
    <w:bookmarkEnd w:id="119"/>
    <w:bookmarkStart w:id="121" w:name="X2e16474dbff84e9966c63a78f86e923d201544c"/>
    <w:p>
      <w:pPr>
        <w:pStyle w:val="Bibliography"/>
      </w:pPr>
      <w:r>
        <w:t xml:space="preserve">24.</w:t>
      </w:r>
      <w:r>
        <w:t xml:space="preserve"> </w:t>
      </w:r>
      <w:r>
        <w:t xml:space="preserve">	</w:t>
      </w:r>
      <w:r>
        <w:t xml:space="preserve">Sun H, Guo X, Zhu X, Gu P, Zhang W, Tao W, et al.</w:t>
      </w:r>
      <w:r>
        <w:t xml:space="preserve"> </w:t>
      </w:r>
      <w:hyperlink r:id="rId120">
        <w:r>
          <w:rPr>
            <w:rStyle w:val="Hyperlink"/>
          </w:rPr>
          <w:t xml:space="preserve">Strigolactone and gibberellin signaling coordinately regulate metabolic adaptations to changes in nitrogen availability in rice</w:t>
        </w:r>
      </w:hyperlink>
      <w:r>
        <w:t xml:space="preserve">. Mol Plant. 2023 Mar 6;16(3):588–98.</w:t>
      </w:r>
      <w:r>
        <w:t xml:space="preserve"> </w:t>
      </w:r>
    </w:p>
    <w:bookmarkEnd w:id="121"/>
    <w:bookmarkStart w:id="123" w:name="Xcc71cd2df4032d63494e28c6a7921129da1c090"/>
    <w:p>
      <w:pPr>
        <w:pStyle w:val="Bibliography"/>
      </w:pPr>
      <w:r>
        <w:t xml:space="preserve">25.</w:t>
      </w:r>
      <w:r>
        <w:t xml:space="preserve"> </w:t>
      </w:r>
      <w:r>
        <w:t xml:space="preserve">	</w:t>
      </w:r>
      <w:r>
        <w:t xml:space="preserve">Farahbod M, Pavlidis P.</w:t>
      </w:r>
      <w:r>
        <w:t xml:space="preserve"> </w:t>
      </w:r>
      <w:hyperlink r:id="rId122">
        <w:r>
          <w:rPr>
            <w:rStyle w:val="Hyperlink"/>
          </w:rPr>
          <w:t xml:space="preserve">Untangling the effects of cellular composition on coexpression analysis</w:t>
        </w:r>
      </w:hyperlink>
      <w:r>
        <w:t xml:space="preserve">. Genome Res. 2020 Jun 1;30(6):849–59.</w:t>
      </w:r>
      <w:r>
        <w:t xml:space="preserve"> </w:t>
      </w:r>
    </w:p>
    <w:bookmarkEnd w:id="123"/>
    <w:bookmarkStart w:id="125" w:name="ref-zhaoWeightedGeneCoexpression2010"/>
    <w:p>
      <w:pPr>
        <w:pStyle w:val="Bibliography"/>
      </w:pPr>
      <w:r>
        <w:t xml:space="preserve">26.</w:t>
      </w:r>
      <w:r>
        <w:t xml:space="preserve"> </w:t>
      </w:r>
      <w:r>
        <w:t xml:space="preserve">	</w:t>
      </w:r>
      <w:r>
        <w:t xml:space="preserve">Zhao W, Langfelder P, Fuller T, Dong J, Li A, Hovarth S.</w:t>
      </w:r>
      <w:r>
        <w:t xml:space="preserve"> </w:t>
      </w:r>
      <w:hyperlink r:id="rId124">
        <w:r>
          <w:rPr>
            <w:rStyle w:val="Hyperlink"/>
          </w:rPr>
          <w:t xml:space="preserve">Weighted Gene Coexpression Network Analysis: State of the Art</w:t>
        </w:r>
      </w:hyperlink>
      <w:r>
        <w:t xml:space="preserve">. Journal of Biopharmaceutical Statistics. 2010 Mar 19;20(2):281–300.</w:t>
      </w:r>
      <w:r>
        <w:t xml:space="preserve"> </w:t>
      </w:r>
    </w:p>
    <w:bookmarkEnd w:id="125"/>
    <w:bookmarkStart w:id="127" w:name="X3e57ed0fe141b4b17e403de16a66af40da9b626"/>
    <w:p>
      <w:pPr>
        <w:pStyle w:val="Bibliography"/>
      </w:pPr>
      <w:r>
        <w:t xml:space="preserve">27.</w:t>
      </w:r>
      <w:r>
        <w:t xml:space="preserve"> </w:t>
      </w:r>
      <w:r>
        <w:t xml:space="preserve">	</w:t>
      </w:r>
      <w:r>
        <w:t xml:space="preserve">Chowdhury HA, Bhattacharyya DK, Kalita JK.</w:t>
      </w:r>
      <w:r>
        <w:t xml:space="preserve"> </w:t>
      </w:r>
      <w:hyperlink r:id="rId126">
        <w:r>
          <w:rPr>
            <w:rStyle w:val="Hyperlink"/>
          </w:rPr>
          <w:t xml:space="preserve">(Differential) Co-Expression Analysis of Gene Expression: A Survey of Best Practices</w:t>
        </w:r>
      </w:hyperlink>
      <w:r>
        <w:t xml:space="preserve">. IEEE/ACM Transactions on Computational Biology and Bioinformatics. 2020 Jul;17(4):1154–73.</w:t>
      </w:r>
      <w:r>
        <w:t xml:space="preserve"> </w:t>
      </w:r>
    </w:p>
    <w:bookmarkEnd w:id="127"/>
    <w:bookmarkStart w:id="129" w:name="ref-rajalahtiBiomarkerDiscoveryMass2009"/>
    <w:p>
      <w:pPr>
        <w:pStyle w:val="Bibliography"/>
      </w:pPr>
      <w:r>
        <w:t xml:space="preserve">28.</w:t>
      </w:r>
      <w:r>
        <w:t xml:space="preserve"> </w:t>
      </w:r>
      <w:r>
        <w:t xml:space="preserve">	</w:t>
      </w:r>
      <w:r>
        <w:t xml:space="preserve">Rajalahti T, Arneberg R, Berven FS, Myhr KM, Ulvik RJ, Kvalheim OM.</w:t>
      </w:r>
      <w:r>
        <w:t xml:space="preserve"> </w:t>
      </w:r>
      <w:hyperlink r:id="rId128">
        <w:r>
          <w:rPr>
            <w:rStyle w:val="Hyperlink"/>
          </w:rPr>
          <w:t xml:space="preserve">Biomarker discovery in mass spectral profiles by means of selectivity ratio plot</w:t>
        </w:r>
      </w:hyperlink>
      <w:r>
        <w:t xml:space="preserve">. Chemometrics and Intelligent Laboratory Systems. 2009 Jan 15;95(1):35–48.</w:t>
      </w:r>
      <w:r>
        <w:t xml:space="preserve"> </w:t>
      </w:r>
    </w:p>
    <w:bookmarkEnd w:id="129"/>
    <w:bookmarkStart w:id="131" w:name="Xe7babcb509b3ef554dc77224d7bc0c8531e51b3"/>
    <w:p>
      <w:pPr>
        <w:pStyle w:val="Bibliography"/>
      </w:pPr>
      <w:r>
        <w:t xml:space="preserve">29.</w:t>
      </w:r>
      <w:r>
        <w:t xml:space="preserve"> </w:t>
      </w:r>
      <w:r>
        <w:t xml:space="preserve">	</w:t>
      </w:r>
      <w:r>
        <w:t xml:space="preserve">Caldana C, Degenkolbe T, Cuadros-Inostroza A, Klie S, Sulpice R, Leisse A, et al.</w:t>
      </w:r>
      <w:r>
        <w:t xml:space="preserve"> </w:t>
      </w:r>
      <w:hyperlink r:id="rId130">
        <w:r>
          <w:rPr>
            <w:rStyle w:val="Hyperlink"/>
          </w:rPr>
          <w:t xml:space="preserve">High-density kinetic analysis of the metabolomic and transcriptomic response of Arabidopsis to eight environmental conditions</w:t>
        </w:r>
      </w:hyperlink>
      <w:r>
        <w:t xml:space="preserve">. The Plant Journal. 2011;67(5):869–84.</w:t>
      </w:r>
      <w:r>
        <w:t xml:space="preserve"> </w:t>
      </w:r>
    </w:p>
    <w:bookmarkEnd w:id="131"/>
    <w:bookmarkEnd w:id="132"/>
    <w:bookmarkEnd w:id="133"/>
    <w:bookmarkStart w:id="139"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5" name="Picture"/>
            <a:graphic>
              <a:graphicData uri="http://schemas.openxmlformats.org/drawingml/2006/picture">
                <pic:pic>
                  <pic:nvPicPr>
                    <pic:cNvPr descr="Paper_markdown_files/figure-docx/unnamed-chunk-3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Start w:id="137" w:name="ranked-correlations-1"/>
    <w:p>
      <w:pPr>
        <w:pStyle w:val="Heading2"/>
      </w:pPr>
      <w:r>
        <w:t xml:space="preserve">Ranked correlations</w:t>
      </w:r>
    </w:p>
    <w:p>
      <w:pPr>
        <w:pStyle w:val="FirstParagraph"/>
      </w:pPr>
      <w:r>
        <w:t xml:space="preserve">Ranked correlations are calculated as:</w:t>
      </w:r>
    </w:p>
    <w:p>
      <w:pPr>
        <w:pStyle w:val="BodyText"/>
      </w:pPr>
      <m:oMathPara>
        <m:oMathParaPr>
          <m:jc m:val="center"/>
        </m:oMathParaPr>
        <m:oMath>
          <m:m>
            <m:mPr>
              <m:baseJc m:val="center"/>
              <m:plcHide m:val="1"/>
              <m:mcs>
                <m:mc>
                  <m:mcPr>
                    <m:mcJc m:val="right"/>
                    <m:count m:val="1"/>
                  </m:mcPr>
                </m:mc>
              </m:mcs>
            </m:mPr>
            <m:mr>
              <m:e>
                <m:r>
                  <m:t>R</m:t>
                </m:r>
                <m:r>
                  <m:t>a</m:t>
                </m:r>
                <m:r>
                  <m:t>n</m:t>
                </m:r>
                <m:sSub>
                  <m:e>
                    <m:r>
                      <m:t>k</m:t>
                    </m:r>
                  </m:e>
                  <m:sub>
                    <m:acc>
                      <m:accPr>
                        <m:chr m:val="̃"/>
                      </m:accPr>
                      <m:e>
                        <m:r>
                          <m:t>J</m:t>
                        </m:r>
                      </m:e>
                    </m:acc>
                  </m:sub>
                </m:sSub>
                <m:r>
                  <m:rPr>
                    <m:sty m:val="p"/>
                  </m:rPr>
                  <m:t>=</m:t>
                </m:r>
                <m:f>
                  <m:fPr>
                    <m:type m:val="bar"/>
                  </m:fPr>
                  <m:num>
                    <m:nary>
                      <m:naryPr>
                        <m:chr m:val="∑"/>
                        <m:limLoc m:val="undOvr"/>
                        <m:subHide m:val="0"/>
                        <m:supHide m:val="0"/>
                      </m:naryPr>
                      <m:sub>
                        <m:r>
                          <m:t>b</m:t>
                        </m:r>
                        <m:r>
                          <m:rPr>
                            <m:sty m:val="p"/>
                          </m:rPr>
                          <m:t>=</m:t>
                        </m:r>
                        <m:r>
                          <m:t>1</m:t>
                        </m:r>
                      </m:sub>
                      <m:sup>
                        <m:r>
                          <m:t>B</m:t>
                        </m:r>
                      </m:sup>
                      <m:e>
                        <m:sSub>
                          <m:e>
                            <m:acc>
                              <m:accPr>
                                <m:chr m:val="̃"/>
                              </m:accPr>
                              <m:e>
                                <m:r>
                                  <m:t>r</m:t>
                                </m:r>
                              </m:e>
                            </m:acc>
                          </m:e>
                          <m:sub>
                            <m:r>
                              <m:t>b</m:t>
                            </m:r>
                            <m:acc>
                              <m:accPr>
                                <m:chr m:val="̃"/>
                              </m:accPr>
                              <m:e>
                                <m:r>
                                  <m:t>j</m:t>
                                </m:r>
                              </m:e>
                            </m:acc>
                          </m:sub>
                        </m:sSub>
                      </m:e>
                    </m:nary>
                  </m:num>
                  <m:den>
                    <m:r>
                      <m:t>B</m:t>
                    </m:r>
                  </m:den>
                </m:f>
              </m:e>
            </m:mr>
          </m:m>
          <m:r>
            <m:t>  </m:t>
          </m:r>
          <m:d>
            <m:dPr>
              <m:begChr m:val="("/>
              <m:endChr m:val=")"/>
              <m:sepChr m:val=""/>
              <m:grow/>
            </m:dPr>
            <m:e>
              <m:r>
                <m:t>14</m:t>
              </m:r>
            </m:e>
          </m:d>
        </m:oMath>
      </m:oMathPara>
    </w:p>
    <w:p>
      <w:pPr>
        <w:pStyle w:val="FirstParagraph"/>
      </w:pPr>
      <w:r>
        <w:t xml:space="preserve">Where</w:t>
      </w:r>
      <w:r>
        <w:t xml:space="preserve"> </w:t>
      </w:r>
      <w:r>
        <w:rPr>
          <w:iCs/>
          <w:i/>
        </w:rPr>
        <w:t xml:space="preserve">B</w:t>
      </w:r>
      <w:r>
        <w:t xml:space="preserve"> </w:t>
      </w:r>
      <w:r>
        <w:t xml:space="preserve">is the number of baits and</w:t>
      </w:r>
      <w:r>
        <w:t xml:space="preserve"> </w:t>
      </w:r>
      <m:oMath>
        <m:r>
          <m:t>r</m:t>
        </m:r>
        <m:r>
          <m:t>a</m:t>
        </m:r>
        <m:r>
          <m:t>n</m:t>
        </m:r>
        <m:sSub>
          <m:e>
            <m:r>
              <m:t>k</m:t>
            </m:r>
          </m:e>
          <m:sub>
            <m:r>
              <m:t>b</m:t>
            </m:r>
            <m:acc>
              <m:accPr>
                <m:chr m:val="̃"/>
              </m:accPr>
              <m:e>
                <m:r>
                  <m:t>j</m:t>
                </m:r>
              </m:e>
            </m:acc>
          </m:sub>
        </m:sSub>
      </m:oMath>
      <w:r>
        <w:t xml:space="preserve"> </w:t>
      </w:r>
      <w:r>
        <w:t xml:space="preserve">is the ranked Pearson correlation coefficient between gene j and bait b in the context of</w:t>
      </w:r>
      <w:r>
        <w:t xml:space="preserve"> </w:t>
      </w:r>
      <m:oMath>
        <m:acc>
          <m:accPr>
            <m:chr m:val="̃"/>
          </m:accPr>
          <m:e>
            <m:r>
              <m:t>J</m:t>
            </m:r>
          </m:e>
        </m:acc>
      </m:oMath>
      <w:r>
        <w:t xml:space="preserve"> </w:t>
      </w:r>
      <w:r>
        <w:t xml:space="preserve">non-bait genes.</w:t>
      </w:r>
    </w:p>
    <w:bookmarkEnd w:id="137"/>
    <w:bookmarkStart w:id="138" w:name="Xe35679ff03be81a8002ed19201f2cee693b89ad"/>
    <w:p>
      <w:pPr>
        <w:pStyle w:val="Heading2"/>
      </w:pPr>
      <w:r>
        <w:t xml:space="preserve">Fisher transformed Pearson correlation coefficient</w:t>
      </w:r>
    </w:p>
    <w:p>
      <w:pPr>
        <w:pStyle w:val="FirstParagraph"/>
      </w:pPr>
      <w:r>
        <w:t xml:space="preserve">To calculate Fisher transformed Pearson correlations (z) with Pearson’s r:</w:t>
      </w:r>
    </w:p>
    <w:p>
      <w:pPr>
        <w:pStyle w:val="BodyText"/>
      </w:pPr>
      <m:oMathPara>
        <m:oMathParaPr>
          <m:jc m:val="center"/>
        </m:oMathParaPr>
        <m:oMath>
          <m:m>
            <m:mPr>
              <m:baseJc m:val="center"/>
              <m:plcHide m:val="1"/>
              <m:mcs>
                <m:mc>
                  <m:mcPr>
                    <m:mcJc m:val="right"/>
                    <m:count m:val="1"/>
                  </m:mcPr>
                </m:mc>
              </m:mcs>
            </m:mPr>
            <m:mr>
              <m:e>
                <m:r>
                  <m:t>z</m:t>
                </m:r>
                <m:r>
                  <m:rPr>
                    <m:sty m:val="p"/>
                  </m:rPr>
                  <m:t>=</m:t>
                </m:r>
                <m:f>
                  <m:fPr>
                    <m:type m:val="bar"/>
                  </m:fPr>
                  <m:num>
                    <m:r>
                      <m:t>1</m:t>
                    </m:r>
                  </m:num>
                  <m:den>
                    <m:r>
                      <m:t>2</m:t>
                    </m:r>
                  </m:den>
                </m:f>
                <m:r>
                  <m:t>l</m:t>
                </m:r>
                <m:r>
                  <m:t>n</m:t>
                </m:r>
                <m:d>
                  <m:dPr>
                    <m:begChr m:val="("/>
                    <m:endChr m:val=")"/>
                    <m:sepChr m:val=""/>
                    <m:grow/>
                  </m:dPr>
                  <m:e>
                    <m:f>
                      <m:fPr>
                        <m:type m:val="bar"/>
                      </m:fPr>
                      <m:num>
                        <m:r>
                          <m:t>1</m:t>
                        </m:r>
                        <m:r>
                          <m:rPr>
                            <m:sty m:val="p"/>
                          </m:rPr>
                          <m:t>+</m:t>
                        </m:r>
                        <m:r>
                          <m:t>r</m:t>
                        </m:r>
                      </m:num>
                      <m:den>
                        <m:r>
                          <m:t>1</m:t>
                        </m:r>
                        <m:r>
                          <m:rPr>
                            <m:sty m:val="p"/>
                          </m:rPr>
                          <m:t>−</m:t>
                        </m:r>
                        <m:r>
                          <m:t>r</m:t>
                        </m:r>
                      </m:den>
                    </m:f>
                  </m:e>
                </m:d>
              </m:e>
            </m:mr>
          </m:m>
          <m:r>
            <m:t>  </m:t>
          </m:r>
          <m:d>
            <m:dPr>
              <m:begChr m:val="("/>
              <m:endChr m:val=")"/>
              <m:sepChr m:val=""/>
              <m:grow/>
            </m:dPr>
            <m:e>
              <m:r>
                <m:t>15</m:t>
              </m:r>
            </m:e>
          </m:d>
        </m:oMath>
      </m:oMathPara>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2024-01-25T15:01:39Z</dcterms:created>
  <dcterms:modified xsi:type="dcterms:W3CDTF">2024-01-25T15:01:39Z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25 January,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