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5722" w14:textId="77777777" w:rsidR="00F43DDE" w:rsidRPr="00F60206" w:rsidRDefault="00F43DDE" w:rsidP="00F43DDE">
      <w:pPr>
        <w:pStyle w:val="Style9"/>
        <w:widowControl/>
        <w:spacing w:line="240" w:lineRule="atLeast"/>
        <w:rPr>
          <w:rStyle w:val="FontStyle13"/>
          <w:sz w:val="18"/>
          <w:szCs w:val="20"/>
          <w:u w:val="single"/>
          <w:lang w:val="es-ES_tradnl" w:eastAsia="es-ES_tradnl"/>
        </w:rPr>
      </w:pPr>
      <w:r w:rsidRPr="00F60206">
        <w:rPr>
          <w:rStyle w:val="FontStyle13"/>
          <w:sz w:val="18"/>
          <w:szCs w:val="20"/>
          <w:u w:val="single"/>
          <w:lang w:val="es-ES_tradnl" w:eastAsia="es-ES_tradnl"/>
        </w:rPr>
        <w:t>ANEXO AL CONTRATO DE TRABAJO RECOMENDACIONES EN MATERIA DE SEGURIDAD Y SALUD EN EL TRABAJO</w:t>
      </w:r>
    </w:p>
    <w:p w14:paraId="446B7DE8" w14:textId="77777777" w:rsidR="00F43DDE" w:rsidRPr="0099554C" w:rsidRDefault="00F43DDE" w:rsidP="00F43DDE">
      <w:pPr>
        <w:pStyle w:val="Style8"/>
        <w:widowControl/>
        <w:spacing w:line="240" w:lineRule="atLeast"/>
        <w:ind w:left="10" w:firstLine="0"/>
        <w:rPr>
          <w:rStyle w:val="FontStyle13"/>
          <w:sz w:val="16"/>
          <w:szCs w:val="20"/>
          <w:lang w:val="es-ES_tradnl" w:eastAsia="es-ES_tradnl"/>
        </w:rPr>
      </w:pPr>
      <w:r w:rsidRPr="00064E7A">
        <w:rPr>
          <w:rStyle w:val="FontStyle13"/>
          <w:sz w:val="20"/>
          <w:szCs w:val="20"/>
          <w:lang w:val="es-ES_tradnl" w:eastAsia="es-ES_tradnl"/>
        </w:rPr>
        <w:t>1</w:t>
      </w:r>
      <w:r w:rsidRPr="0099554C">
        <w:rPr>
          <w:rStyle w:val="FontStyle13"/>
          <w:sz w:val="16"/>
          <w:szCs w:val="20"/>
          <w:lang w:val="es-ES_tradnl" w:eastAsia="es-ES_tradnl"/>
        </w:rPr>
        <w:t>.- Recomendaciones de carácter general:</w:t>
      </w:r>
    </w:p>
    <w:p w14:paraId="6AC9FCDA" w14:textId="77777777" w:rsidR="00F43DDE" w:rsidRPr="0099554C" w:rsidRDefault="00F43DDE" w:rsidP="00F43DDE">
      <w:pPr>
        <w:pStyle w:val="Style8"/>
        <w:widowControl/>
        <w:spacing w:line="240" w:lineRule="atLeast"/>
        <w:ind w:left="10" w:firstLine="0"/>
        <w:rPr>
          <w:rStyle w:val="FontStyle13"/>
          <w:sz w:val="16"/>
          <w:szCs w:val="20"/>
          <w:lang w:val="es-ES_tradnl" w:eastAsia="es-ES_tradnl"/>
        </w:rPr>
      </w:pPr>
    </w:p>
    <w:p w14:paraId="61F633A6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line="240" w:lineRule="atLeast"/>
        <w:ind w:left="168" w:right="5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El trabajador debe leer, interiorizar y cumplir con el Reglamento Interno de Seguridad y Salud en el Trabajo de la Empresa, así como acatar las normas internas y políticas en materia de seguridad y salud en el trabajo.</w:t>
      </w:r>
    </w:p>
    <w:p w14:paraId="3D285C45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before="5" w:line="240" w:lineRule="atLeast"/>
        <w:ind w:left="168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Reportar de modo inmediato accidentes de trabajo, incidentes peligrosos o cualquier otro tipo de situación que altere o ponga en riesgo la vida, integridad física y psicológica de los trabajadores suscitados en el ámbito laboral, según los mecanismos previstos en la Empresa.</w:t>
      </w:r>
    </w:p>
    <w:p w14:paraId="50688B4C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line="240" w:lineRule="atLeast"/>
        <w:ind w:left="168" w:right="5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Comunicar de modo inmediato la pérdida o deterioro de los Equipos de Protección Personal correspondientes o de cualquier equipo o herramienta de trabajo que genere un riesgo a la integridad y salud de los trabajadores de la Empresa.</w:t>
      </w:r>
    </w:p>
    <w:p w14:paraId="55B4C058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line="240" w:lineRule="atLeast"/>
        <w:ind w:left="168" w:right="14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Conocer las medidas de emergencia en caso de sismo, incendio, aviso de bomba, accidente, incidente y/o enfermedad de necesaria aplicación en cada caso.</w:t>
      </w:r>
    </w:p>
    <w:p w14:paraId="1243D2BA" w14:textId="77777777" w:rsidR="00F43DDE" w:rsidRPr="0099554C" w:rsidRDefault="00F43DDE" w:rsidP="00F43DDE">
      <w:pPr>
        <w:pStyle w:val="Style1"/>
        <w:widowControl/>
        <w:tabs>
          <w:tab w:val="left" w:pos="168"/>
        </w:tabs>
        <w:spacing w:line="240" w:lineRule="atLeast"/>
        <w:ind w:left="168" w:right="14" w:firstLine="0"/>
        <w:rPr>
          <w:rStyle w:val="FontStyle14"/>
          <w:sz w:val="16"/>
          <w:szCs w:val="20"/>
          <w:lang w:val="es-ES_tradnl" w:eastAsia="es-ES_tradnl"/>
        </w:rPr>
      </w:pPr>
    </w:p>
    <w:p w14:paraId="4EF7EC7B" w14:textId="77777777" w:rsidR="00F43DDE" w:rsidRPr="0099554C" w:rsidRDefault="00F43DDE" w:rsidP="00F43DDE">
      <w:pPr>
        <w:pStyle w:val="Style8"/>
        <w:widowControl/>
        <w:spacing w:line="240" w:lineRule="atLeast"/>
        <w:ind w:firstLine="0"/>
        <w:jc w:val="both"/>
        <w:rPr>
          <w:rStyle w:val="FontStyle13"/>
          <w:sz w:val="16"/>
          <w:szCs w:val="20"/>
          <w:lang w:val="es-ES_tradnl" w:eastAsia="es-ES_tradnl"/>
        </w:rPr>
      </w:pPr>
      <w:r w:rsidRPr="0099554C">
        <w:rPr>
          <w:rStyle w:val="FontStyle13"/>
          <w:sz w:val="16"/>
          <w:szCs w:val="20"/>
          <w:lang w:val="es-ES_tradnl" w:eastAsia="es-ES_tradnl"/>
        </w:rPr>
        <w:t>2.- Riesgos laborales del puesto de trabajo:</w:t>
      </w:r>
    </w:p>
    <w:p w14:paraId="18380C65" w14:textId="77777777" w:rsidR="00F43DDE" w:rsidRPr="0099554C" w:rsidRDefault="00F43DDE" w:rsidP="00F43DDE">
      <w:pPr>
        <w:pStyle w:val="Style8"/>
        <w:widowControl/>
        <w:spacing w:line="240" w:lineRule="atLeast"/>
        <w:ind w:firstLine="0"/>
        <w:jc w:val="both"/>
        <w:rPr>
          <w:rStyle w:val="FontStyle13"/>
          <w:sz w:val="16"/>
          <w:szCs w:val="20"/>
          <w:lang w:val="es-ES_tradnl" w:eastAsia="es-ES_tradnl"/>
        </w:rPr>
      </w:pPr>
    </w:p>
    <w:p w14:paraId="39402CC6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line="240" w:lineRule="atLeast"/>
        <w:ind w:firstLine="0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Riesgos causados por una postura de trabajo incorrecta.</w:t>
      </w:r>
    </w:p>
    <w:p w14:paraId="6E02769A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line="240" w:lineRule="atLeast"/>
        <w:ind w:left="168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Tropiezos, resbalones y caídas al nivel del suelo (lugares de paso y superficies de trabajo) en desplazamiento a pie.</w:t>
      </w:r>
    </w:p>
    <w:p w14:paraId="6F8CE781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line="240" w:lineRule="atLeast"/>
        <w:ind w:left="168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Caída, desplome o derrumbamiento de objetos almacenados en armarios, estanterías y demás instalaciones de archivo y almacenamiento de cualesquiera objeto y materiales.</w:t>
      </w:r>
    </w:p>
    <w:p w14:paraId="0B9A3FEB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line="240" w:lineRule="atLeast"/>
        <w:ind w:firstLine="0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Caída de objetos desprendidos.</w:t>
      </w:r>
    </w:p>
    <w:p w14:paraId="3792DE2F" w14:textId="77777777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168"/>
        </w:tabs>
        <w:spacing w:line="240" w:lineRule="atLeast"/>
        <w:ind w:firstLine="0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Riesgos originados por la energía eléctrica.</w:t>
      </w:r>
    </w:p>
    <w:p w14:paraId="18627350" w14:textId="374498D3" w:rsidR="00F43DDE" w:rsidRPr="0099554C" w:rsidRDefault="00F43DDE" w:rsidP="00F43DDE">
      <w:pPr>
        <w:pStyle w:val="Style1"/>
        <w:widowControl/>
        <w:numPr>
          <w:ilvl w:val="0"/>
          <w:numId w:val="1"/>
        </w:numPr>
        <w:tabs>
          <w:tab w:val="left" w:pos="284"/>
        </w:tabs>
        <w:spacing w:line="240" w:lineRule="atLeast"/>
        <w:ind w:firstLine="0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Fatiga emocional. Disminución de la eficiencia funcional mental y física. Monotonía, saturación mental y disminución de la capacidad de</w:t>
      </w:r>
      <w:bookmarkStart w:id="0" w:name="_GoBack"/>
      <w:bookmarkEnd w:id="0"/>
      <w:r>
        <w:rPr>
          <w:rStyle w:val="FontStyle14"/>
          <w:sz w:val="16"/>
          <w:szCs w:val="20"/>
          <w:lang w:val="es-ES_tradnl" w:eastAsia="es-ES_tradnl"/>
        </w:rPr>
        <w:t xml:space="preserve"> </w:t>
      </w:r>
      <w:r w:rsidRPr="0099554C">
        <w:rPr>
          <w:rStyle w:val="FontStyle14"/>
          <w:sz w:val="16"/>
          <w:szCs w:val="20"/>
          <w:lang w:val="es-ES_tradnl" w:eastAsia="es-ES_tradnl"/>
        </w:rPr>
        <w:t>respuesta o de acción de la persona</w:t>
      </w:r>
    </w:p>
    <w:p w14:paraId="13EE8D6C" w14:textId="77777777" w:rsidR="00F43DDE" w:rsidRPr="0099554C" w:rsidRDefault="00F43DDE" w:rsidP="00F43DDE">
      <w:pPr>
        <w:pStyle w:val="Style2"/>
        <w:widowControl/>
        <w:spacing w:before="5" w:line="240" w:lineRule="atLeast"/>
        <w:ind w:left="10"/>
        <w:rPr>
          <w:rStyle w:val="FontStyle14"/>
          <w:sz w:val="16"/>
          <w:szCs w:val="20"/>
          <w:lang w:val="es-ES_tradnl" w:eastAsia="es-ES_tradnl"/>
        </w:rPr>
      </w:pPr>
    </w:p>
    <w:p w14:paraId="41B4150B" w14:textId="77777777" w:rsidR="00F43DDE" w:rsidRPr="0099554C" w:rsidRDefault="00F43DDE" w:rsidP="00F43DDE">
      <w:pPr>
        <w:pStyle w:val="Style8"/>
        <w:widowControl/>
        <w:spacing w:line="240" w:lineRule="atLeast"/>
        <w:ind w:left="360"/>
        <w:jc w:val="both"/>
        <w:rPr>
          <w:rStyle w:val="FontStyle13"/>
          <w:sz w:val="16"/>
          <w:szCs w:val="20"/>
          <w:lang w:val="es-ES_tradnl" w:eastAsia="es-ES_tradnl"/>
        </w:rPr>
      </w:pPr>
      <w:r w:rsidRPr="0099554C">
        <w:rPr>
          <w:rStyle w:val="FontStyle13"/>
          <w:sz w:val="16"/>
          <w:szCs w:val="20"/>
          <w:lang w:val="es-ES_tradnl" w:eastAsia="es-ES_tradnl"/>
        </w:rPr>
        <w:t>3.- Recomendaciones en prevención de accidentes de trabajo, incidentes de trabajo y enfermedades ocupacionales:</w:t>
      </w:r>
    </w:p>
    <w:p w14:paraId="3498124D" w14:textId="77777777" w:rsidR="00F43DDE" w:rsidRPr="0099554C" w:rsidRDefault="00F43DDE" w:rsidP="00F43DDE">
      <w:pPr>
        <w:pStyle w:val="Style8"/>
        <w:widowControl/>
        <w:spacing w:line="240" w:lineRule="atLeast"/>
        <w:ind w:left="360"/>
        <w:jc w:val="both"/>
        <w:rPr>
          <w:rStyle w:val="FontStyle13"/>
          <w:sz w:val="16"/>
          <w:szCs w:val="20"/>
          <w:lang w:val="es-ES_tradnl" w:eastAsia="es-ES_tradnl"/>
        </w:rPr>
      </w:pPr>
    </w:p>
    <w:p w14:paraId="4902DC81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197"/>
        </w:tabs>
        <w:spacing w:line="240" w:lineRule="atLeast"/>
        <w:ind w:left="197" w:right="10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Prestar atención a los desniveles e irregularidades del suelo, extremando la precaución en los desplazamientos por suelos o superficies mojadas o recién enceradas. Estas situaciones deberán ser comunicadas para su corrección a la brevedad posible.</w:t>
      </w:r>
    </w:p>
    <w:p w14:paraId="0DD2141D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197"/>
        </w:tabs>
        <w:spacing w:line="240" w:lineRule="atLeast"/>
        <w:ind w:left="197" w:right="14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Mantener las zonas de circulación y las salidas libres de obstáculos. No apilar objetos de modo inadecuado en los estantes o repisas.</w:t>
      </w:r>
    </w:p>
    <w:p w14:paraId="4F5A4871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197"/>
        </w:tabs>
        <w:spacing w:before="5" w:line="240" w:lineRule="atLeast"/>
        <w:ind w:left="197" w:right="14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No tender cables, conducciones, mangueras, enchufes al nivel del suelo de la zona de trabajo.</w:t>
      </w:r>
    </w:p>
    <w:p w14:paraId="559A01D3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197"/>
        </w:tabs>
        <w:spacing w:before="5" w:line="240" w:lineRule="atLeast"/>
        <w:ind w:left="197" w:right="10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Mantener en todo momento el orden y la limpieza en la instalación, colocando los objetos almacenados de forma estable y evitando sobrecargas que puedan deformar la estructura de la estantería.</w:t>
      </w:r>
    </w:p>
    <w:p w14:paraId="1044CF47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197"/>
        </w:tabs>
        <w:spacing w:before="5" w:line="240" w:lineRule="atLeast"/>
        <w:ind w:left="197" w:right="14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Emplear con racionalidad los equipos alimentados con electricidad, sin manipular las instalaciones eléctricas, ni alterar ni retirar las puestas a tierra ni los aislamientos de las partes activas de diferentes equipos, instalaciones y sistemas.</w:t>
      </w:r>
    </w:p>
    <w:p w14:paraId="3AD07F2E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197"/>
        </w:tabs>
        <w:spacing w:before="5" w:line="240" w:lineRule="atLeast"/>
        <w:ind w:firstLine="0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No manipular ni desarmar equipos de cómputo.</w:t>
      </w:r>
    </w:p>
    <w:p w14:paraId="6BABDDE0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197"/>
        </w:tabs>
        <w:spacing w:before="5" w:line="240" w:lineRule="atLeast"/>
        <w:ind w:firstLine="0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No colocar bebidas sobre escritorios o mesas donde existan equipos electrónicos.</w:t>
      </w:r>
    </w:p>
    <w:p w14:paraId="3B6BD63B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197"/>
        </w:tabs>
        <w:spacing w:before="5" w:line="240" w:lineRule="atLeast"/>
        <w:ind w:left="197" w:right="5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Prestar especial atención a los calentamientos anormales de los equipos e instalaciones eléctricas (Cables, motores, armarios, etc.), así como los cosquilleos o chispazos provocados por los mismos. En este caso será necesaria su inmediata desconexión y posterior notificación, colocando el equipo en lugar seguro y señalizando su estado hasta ser revisado.</w:t>
      </w:r>
    </w:p>
    <w:p w14:paraId="33067904" w14:textId="77777777" w:rsidR="00F43DDE" w:rsidRPr="0099554C" w:rsidRDefault="00F43DDE" w:rsidP="00F43DDE">
      <w:pPr>
        <w:pStyle w:val="Style7"/>
        <w:widowControl/>
        <w:numPr>
          <w:ilvl w:val="0"/>
          <w:numId w:val="2"/>
        </w:numPr>
        <w:spacing w:line="240" w:lineRule="atLeast"/>
        <w:ind w:left="206"/>
        <w:jc w:val="both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Organizar el tiempo de trabajo de manera que permita la realización de pausas espontáneamente a lo largo de la jornada laboral para descansar y cambiar el foco de atención.</w:t>
      </w:r>
    </w:p>
    <w:p w14:paraId="1A5D514B" w14:textId="77777777" w:rsidR="00F43DDE" w:rsidRPr="0099554C" w:rsidRDefault="00F43DDE" w:rsidP="00F43DDE">
      <w:pPr>
        <w:pStyle w:val="Style7"/>
        <w:widowControl/>
        <w:spacing w:line="240" w:lineRule="atLeast"/>
        <w:ind w:left="206" w:firstLine="0"/>
        <w:jc w:val="both"/>
        <w:rPr>
          <w:rStyle w:val="FontStyle14"/>
          <w:sz w:val="16"/>
          <w:szCs w:val="20"/>
          <w:lang w:val="es-ES_tradnl" w:eastAsia="es-ES_tradnl"/>
        </w:rPr>
      </w:pPr>
    </w:p>
    <w:p w14:paraId="09045EA0" w14:textId="77777777" w:rsidR="00F43DDE" w:rsidRPr="0099554C" w:rsidRDefault="00F43DDE" w:rsidP="00F43DDE">
      <w:pPr>
        <w:pStyle w:val="Style9"/>
        <w:widowControl/>
        <w:spacing w:line="240" w:lineRule="atLeast"/>
        <w:jc w:val="both"/>
        <w:rPr>
          <w:rStyle w:val="FontStyle13"/>
          <w:sz w:val="16"/>
          <w:szCs w:val="20"/>
          <w:lang w:val="es-ES_tradnl" w:eastAsia="es-ES_tradnl"/>
        </w:rPr>
      </w:pPr>
      <w:r w:rsidRPr="0099554C">
        <w:rPr>
          <w:rStyle w:val="FontStyle13"/>
          <w:sz w:val="16"/>
          <w:szCs w:val="20"/>
          <w:lang w:val="es-ES_tradnl" w:eastAsia="es-ES_tradnl"/>
        </w:rPr>
        <w:t>4.- Medidas de protección aplicables en el puesto o función específica:</w:t>
      </w:r>
    </w:p>
    <w:p w14:paraId="07AED255" w14:textId="77777777" w:rsidR="00F43DDE" w:rsidRPr="0099554C" w:rsidRDefault="00F43DDE" w:rsidP="00F43DDE">
      <w:pPr>
        <w:pStyle w:val="Style9"/>
        <w:widowControl/>
        <w:spacing w:line="240" w:lineRule="atLeast"/>
        <w:jc w:val="both"/>
        <w:rPr>
          <w:rStyle w:val="FontStyle13"/>
          <w:sz w:val="16"/>
          <w:szCs w:val="20"/>
          <w:lang w:val="es-ES_tradnl" w:eastAsia="es-ES_tradnl"/>
        </w:rPr>
      </w:pPr>
    </w:p>
    <w:p w14:paraId="58C7AED1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202"/>
        </w:tabs>
        <w:spacing w:line="240" w:lineRule="atLeast"/>
        <w:ind w:left="202" w:right="5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Interrumpir la actividad en caso de riesgo grave e inminente para su salud o integridad física y, si es necesario, abandonar el lugar de trabajo, comunicando inmediatamente al superior jerárquico correspondiente las circunstancias que justifican dicha acción.</w:t>
      </w:r>
    </w:p>
    <w:p w14:paraId="7F8A5AA5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202"/>
        </w:tabs>
        <w:spacing w:before="5" w:line="240" w:lineRule="atLeast"/>
        <w:ind w:left="202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Respetar las señalizaciones instaladas en las zonas de trabajo y no obstaculizar las vías de evacuación, áreas de circulación, puertas de salida, así como el acceso a los medios de protección contra incendios existentes.</w:t>
      </w:r>
    </w:p>
    <w:p w14:paraId="79C45A28" w14:textId="77777777" w:rsidR="00F43DDE" w:rsidRPr="0099554C" w:rsidRDefault="00F43DDE" w:rsidP="00F43DDE">
      <w:pPr>
        <w:pStyle w:val="Style1"/>
        <w:widowControl/>
        <w:numPr>
          <w:ilvl w:val="0"/>
          <w:numId w:val="2"/>
        </w:numPr>
        <w:tabs>
          <w:tab w:val="left" w:pos="202"/>
        </w:tabs>
        <w:spacing w:line="240" w:lineRule="atLeast"/>
        <w:ind w:left="202" w:right="10" w:hanging="197"/>
        <w:rPr>
          <w:rStyle w:val="FontStyle14"/>
          <w:sz w:val="16"/>
          <w:szCs w:val="20"/>
          <w:lang w:val="es-ES_tradnl" w:eastAsia="es-ES_tradnl"/>
        </w:rPr>
      </w:pPr>
      <w:r w:rsidRPr="0099554C">
        <w:rPr>
          <w:rStyle w:val="FontStyle14"/>
          <w:sz w:val="16"/>
          <w:szCs w:val="20"/>
          <w:lang w:val="es-ES_tradnl" w:eastAsia="es-ES_tradnl"/>
        </w:rPr>
        <w:t>Observar un comportamiento adecuado que evite la generación de riesgos para el propio trabajador, sus compañeros o terceras personas, así como en relación con los bienes y equipos propiedad de la Empresa.</w:t>
      </w:r>
    </w:p>
    <w:p w14:paraId="7CC3B839" w14:textId="77777777" w:rsidR="00F43DDE" w:rsidRPr="0099554C" w:rsidRDefault="00F43DDE" w:rsidP="00F43DDE">
      <w:pPr>
        <w:pStyle w:val="Style2"/>
        <w:widowControl/>
        <w:spacing w:before="5" w:line="240" w:lineRule="atLeast"/>
        <w:ind w:left="10"/>
        <w:rPr>
          <w:sz w:val="16"/>
          <w:szCs w:val="20"/>
        </w:rPr>
      </w:pPr>
    </w:p>
    <w:p w14:paraId="7B7F611C" w14:textId="77777777" w:rsidR="00F43DDE" w:rsidRDefault="00F43DDE" w:rsidP="00F43DDE">
      <w:pPr>
        <w:spacing w:line="240" w:lineRule="atLeast"/>
        <w:rPr>
          <w:rFonts w:ascii="Arial" w:hAnsi="Arial" w:cs="Arial"/>
          <w:sz w:val="20"/>
          <w:szCs w:val="20"/>
          <w:lang w:val="es-PE"/>
        </w:rPr>
      </w:pPr>
    </w:p>
    <w:p w14:paraId="60BD597E" w14:textId="77777777" w:rsidR="00F43DDE" w:rsidRDefault="00F43DDE" w:rsidP="00F43DDE">
      <w:pPr>
        <w:spacing w:line="240" w:lineRule="atLeast"/>
        <w:rPr>
          <w:rFonts w:ascii="Arial" w:hAnsi="Arial" w:cs="Arial"/>
          <w:sz w:val="20"/>
          <w:szCs w:val="20"/>
          <w:lang w:val="es-PE"/>
        </w:rPr>
      </w:pPr>
    </w:p>
    <w:p w14:paraId="5B1F2D62" w14:textId="77777777" w:rsidR="00F43DDE" w:rsidRDefault="00F43DDE" w:rsidP="00F43DDE">
      <w:pPr>
        <w:spacing w:line="240" w:lineRule="atLeast"/>
        <w:rPr>
          <w:rFonts w:ascii="Arial" w:hAnsi="Arial" w:cs="Arial"/>
          <w:sz w:val="20"/>
          <w:szCs w:val="20"/>
          <w:lang w:val="es-PE"/>
        </w:rPr>
      </w:pPr>
    </w:p>
    <w:p w14:paraId="561CF70B" w14:textId="77777777" w:rsidR="00F43DDE" w:rsidRPr="00064E7A" w:rsidRDefault="00F43DDE" w:rsidP="00F43DDE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                                                           __________________________</w:t>
      </w:r>
    </w:p>
    <w:p w14:paraId="303E5729" w14:textId="77777777" w:rsidR="00F43DDE" w:rsidRPr="00F43DDE" w:rsidRDefault="00F43DDE" w:rsidP="00F43DDE">
      <w:pPr>
        <w:pStyle w:val="Ttulo1"/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064E7A">
        <w:rPr>
          <w:rFonts w:ascii="Arial" w:hAnsi="Arial" w:cs="Arial"/>
          <w:sz w:val="20"/>
          <w:szCs w:val="20"/>
        </w:rPr>
        <w:t xml:space="preserve">EL EMPLEADOR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EL TRABAJADOR</w:t>
      </w:r>
    </w:p>
    <w:sectPr w:rsidR="00F43DDE" w:rsidRPr="00F43DDE" w:rsidSect="00F43DD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2BBA8" w14:textId="77777777" w:rsidR="00B131FA" w:rsidRDefault="00B131FA" w:rsidP="00F43DDE">
      <w:r>
        <w:separator/>
      </w:r>
    </w:p>
  </w:endnote>
  <w:endnote w:type="continuationSeparator" w:id="0">
    <w:p w14:paraId="528AB1F9" w14:textId="77777777" w:rsidR="00B131FA" w:rsidRDefault="00B131FA" w:rsidP="00F4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F39DF" w14:textId="77777777" w:rsidR="00B131FA" w:rsidRDefault="00B131FA" w:rsidP="00F43DDE">
      <w:r>
        <w:separator/>
      </w:r>
    </w:p>
  </w:footnote>
  <w:footnote w:type="continuationSeparator" w:id="0">
    <w:p w14:paraId="114CF3C6" w14:textId="77777777" w:rsidR="00B131FA" w:rsidRDefault="00B131FA" w:rsidP="00F4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77660D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rPr>
          <w:rFonts w:ascii="Calibri" w:hAnsi="Calibri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197"/>
        <w:lvlJc w:val="left"/>
        <w:rPr>
          <w:rFonts w:ascii="Calibri" w:hAnsi="Calibri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DE"/>
    <w:rsid w:val="003A37EC"/>
    <w:rsid w:val="00561625"/>
    <w:rsid w:val="00B131FA"/>
    <w:rsid w:val="00B435BF"/>
    <w:rsid w:val="00DC555A"/>
    <w:rsid w:val="00F4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F3F95"/>
  <w15:chartTrackingRefBased/>
  <w15:docId w15:val="{5A97F915-7AB1-4816-A2A8-A8FA68CE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3DDE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43DDE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Style2">
    <w:name w:val="Style2"/>
    <w:basedOn w:val="Normal"/>
    <w:uiPriority w:val="99"/>
    <w:rsid w:val="00F43DDE"/>
    <w:pPr>
      <w:widowControl w:val="0"/>
      <w:autoSpaceDE w:val="0"/>
      <w:autoSpaceDN w:val="0"/>
      <w:adjustRightInd w:val="0"/>
      <w:spacing w:line="253" w:lineRule="exact"/>
      <w:jc w:val="both"/>
    </w:pPr>
    <w:rPr>
      <w:rFonts w:ascii="Arial" w:eastAsiaTheme="minorEastAsia" w:hAnsi="Arial" w:cs="Arial"/>
      <w:lang w:val="es-PE" w:eastAsia="es-PE"/>
    </w:rPr>
  </w:style>
  <w:style w:type="paragraph" w:customStyle="1" w:styleId="Style9">
    <w:name w:val="Style9"/>
    <w:basedOn w:val="Normal"/>
    <w:uiPriority w:val="99"/>
    <w:rsid w:val="00F43DDE"/>
    <w:pPr>
      <w:widowControl w:val="0"/>
      <w:autoSpaceDE w:val="0"/>
      <w:autoSpaceDN w:val="0"/>
      <w:adjustRightInd w:val="0"/>
      <w:spacing w:line="586" w:lineRule="exact"/>
      <w:jc w:val="center"/>
    </w:pPr>
    <w:rPr>
      <w:rFonts w:ascii="Arial" w:eastAsiaTheme="minorEastAsia" w:hAnsi="Arial" w:cs="Arial"/>
      <w:lang w:val="es-PE" w:eastAsia="es-PE"/>
    </w:rPr>
  </w:style>
  <w:style w:type="character" w:customStyle="1" w:styleId="FontStyle13">
    <w:name w:val="Font Style13"/>
    <w:basedOn w:val="Fuentedeprrafopredeter"/>
    <w:uiPriority w:val="99"/>
    <w:rsid w:val="00F43DDE"/>
    <w:rPr>
      <w:rFonts w:ascii="Calibri" w:hAnsi="Calibri" w:cs="Calibri"/>
      <w:b/>
      <w:bCs/>
      <w:sz w:val="22"/>
      <w:szCs w:val="22"/>
    </w:rPr>
  </w:style>
  <w:style w:type="paragraph" w:customStyle="1" w:styleId="Style1">
    <w:name w:val="Style1"/>
    <w:basedOn w:val="Normal"/>
    <w:uiPriority w:val="99"/>
    <w:rsid w:val="00F43DDE"/>
    <w:pPr>
      <w:widowControl w:val="0"/>
      <w:autoSpaceDE w:val="0"/>
      <w:autoSpaceDN w:val="0"/>
      <w:adjustRightInd w:val="0"/>
      <w:spacing w:line="269" w:lineRule="exact"/>
      <w:ind w:hanging="168"/>
      <w:jc w:val="both"/>
    </w:pPr>
    <w:rPr>
      <w:rFonts w:ascii="Arial" w:eastAsiaTheme="minorEastAsia" w:hAnsi="Arial" w:cs="Arial"/>
      <w:lang w:val="es-PE" w:eastAsia="es-PE"/>
    </w:rPr>
  </w:style>
  <w:style w:type="paragraph" w:customStyle="1" w:styleId="Style8">
    <w:name w:val="Style8"/>
    <w:basedOn w:val="Normal"/>
    <w:uiPriority w:val="99"/>
    <w:rsid w:val="00F43DDE"/>
    <w:pPr>
      <w:widowControl w:val="0"/>
      <w:autoSpaceDE w:val="0"/>
      <w:autoSpaceDN w:val="0"/>
      <w:adjustRightInd w:val="0"/>
      <w:spacing w:line="264" w:lineRule="exact"/>
      <w:ind w:hanging="360"/>
    </w:pPr>
    <w:rPr>
      <w:rFonts w:ascii="Arial" w:eastAsiaTheme="minorEastAsia" w:hAnsi="Arial" w:cs="Arial"/>
      <w:lang w:val="es-PE" w:eastAsia="es-PE"/>
    </w:rPr>
  </w:style>
  <w:style w:type="character" w:customStyle="1" w:styleId="FontStyle14">
    <w:name w:val="Font Style14"/>
    <w:basedOn w:val="Fuentedeprrafopredeter"/>
    <w:uiPriority w:val="99"/>
    <w:rsid w:val="00F43DDE"/>
    <w:rPr>
      <w:rFonts w:ascii="Calibri" w:hAnsi="Calibri" w:cs="Calibri"/>
      <w:sz w:val="22"/>
      <w:szCs w:val="22"/>
    </w:rPr>
  </w:style>
  <w:style w:type="paragraph" w:customStyle="1" w:styleId="Style7">
    <w:name w:val="Style7"/>
    <w:basedOn w:val="Normal"/>
    <w:uiPriority w:val="99"/>
    <w:rsid w:val="00F43DDE"/>
    <w:pPr>
      <w:widowControl w:val="0"/>
      <w:autoSpaceDE w:val="0"/>
      <w:autoSpaceDN w:val="0"/>
      <w:adjustRightInd w:val="0"/>
      <w:spacing w:line="269" w:lineRule="exact"/>
      <w:ind w:hanging="206"/>
    </w:pPr>
    <w:rPr>
      <w:rFonts w:ascii="Arial" w:eastAsiaTheme="minorEastAsia" w:hAnsi="Arial" w:cs="Arial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F43D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3D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43D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DD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664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Administracion5</dc:creator>
  <cp:keywords/>
  <dc:description/>
  <cp:lastModifiedBy>SISTEMAS</cp:lastModifiedBy>
  <cp:revision>2</cp:revision>
  <cp:lastPrinted>2020-02-26T22:04:00Z</cp:lastPrinted>
  <dcterms:created xsi:type="dcterms:W3CDTF">2020-02-26T20:19:00Z</dcterms:created>
  <dcterms:modified xsi:type="dcterms:W3CDTF">2020-02-26T22:04:00Z</dcterms:modified>
</cp:coreProperties>
</file>