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F24F0" w14:textId="6DAFB47D" w:rsidR="005241BA" w:rsidRDefault="00840428" w:rsidP="005241BA">
      <w:pPr>
        <w:spacing w:after="80"/>
      </w:pPr>
      <w:r>
        <w:rPr>
          <w:b/>
          <w:bCs/>
          <w:color w:val="00695C"/>
        </w:rPr>
        <w:t xml:space="preserve">                               </w:t>
      </w:r>
      <w:r w:rsidR="005241BA">
        <w:rPr>
          <w:b/>
          <w:bCs/>
          <w:color w:val="00695C"/>
        </w:rPr>
        <w:t xml:space="preserve"> 503IT – Communication and Collaboration</w:t>
      </w:r>
    </w:p>
    <w:p w14:paraId="2528F42A" w14:textId="77777777" w:rsidR="005241BA" w:rsidRDefault="005241BA" w:rsidP="005241BA">
      <w:pPr>
        <w:spacing w:after="160"/>
      </w:pPr>
    </w:p>
    <w:p w14:paraId="2F2BB518" w14:textId="77777777" w:rsidR="005241BA" w:rsidRDefault="005241BA" w:rsidP="005241BA">
      <w:pPr>
        <w:spacing w:after="80"/>
        <w:jc w:val="center"/>
      </w:pPr>
      <w:r>
        <w:rPr>
          <w:b/>
          <w:bCs/>
          <w:color w:val="0D2545"/>
          <w:sz w:val="44"/>
          <w:szCs w:val="44"/>
        </w:rPr>
        <w:t>Phishing Research Notes</w:t>
      </w:r>
    </w:p>
    <w:p w14:paraId="3ACF1849" w14:textId="77777777" w:rsidR="005241BA" w:rsidRDefault="005241BA" w:rsidP="005241BA">
      <w:pPr>
        <w:spacing w:after="40"/>
        <w:jc w:val="center"/>
      </w:pPr>
      <w:r>
        <w:rPr>
          <w:color w:val="78909C"/>
        </w:rPr>
        <w:t>Appendix B.1 – Individual Contribution Evidence</w:t>
      </w:r>
    </w:p>
    <w:p w14:paraId="35E375B2" w14:textId="77777777" w:rsidR="005241BA" w:rsidRDefault="005241BA" w:rsidP="005241B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5241BA" w14:paraId="35E9B521" w14:textId="77777777" w:rsidTr="00E17999">
        <w:tblPrEx>
          <w:tblCellMar>
            <w:top w:w="0" w:type="dxa"/>
            <w:bottom w:w="0" w:type="dxa"/>
          </w:tblCellMar>
        </w:tblPrEx>
        <w:tc>
          <w:tcPr>
            <w:tcW w:w="2200" w:type="dxa"/>
            <w:tcBorders>
              <w:top w:val="single" w:sz="4" w:space="0" w:color="00695C"/>
              <w:left w:val="single" w:sz="4" w:space="0" w:color="00695C"/>
              <w:bottom w:val="single" w:sz="4" w:space="0" w:color="00695C"/>
              <w:right w:val="single" w:sz="4" w:space="0" w:color="00695C"/>
            </w:tcBorders>
            <w:tcMar>
              <w:top w:w="100" w:type="dxa"/>
              <w:left w:w="150" w:type="dxa"/>
              <w:bottom w:w="100" w:type="dxa"/>
              <w:right w:w="150" w:type="dxa"/>
            </w:tcMar>
          </w:tcPr>
          <w:p w14:paraId="72270AF2" w14:textId="77777777" w:rsidR="005241BA" w:rsidRPr="009939CB" w:rsidRDefault="005241BA" w:rsidP="00E17999">
            <w:pPr>
              <w:rPr>
                <w:b/>
                <w:bCs/>
              </w:rPr>
            </w:pPr>
            <w:r w:rsidRPr="009939CB">
              <w:rPr>
                <w:b/>
                <w:bCs/>
              </w:rPr>
              <w:t>Prepared by</w:t>
            </w:r>
          </w:p>
        </w:tc>
        <w:tc>
          <w:tcPr>
            <w:tcW w:w="6826"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5EDBEB96" w14:textId="77777777" w:rsidR="005241BA" w:rsidRDefault="005241BA" w:rsidP="00E17999">
            <w:r>
              <w:t>Ramesh K Yadav – Research Lead</w:t>
            </w:r>
          </w:p>
        </w:tc>
      </w:tr>
      <w:tr w:rsidR="005241BA" w14:paraId="120EA921" w14:textId="77777777" w:rsidTr="00E17999">
        <w:tblPrEx>
          <w:tblCellMar>
            <w:top w:w="0" w:type="dxa"/>
            <w:bottom w:w="0" w:type="dxa"/>
          </w:tblCellMar>
        </w:tblPrEx>
        <w:tc>
          <w:tcPr>
            <w:tcW w:w="2200" w:type="dxa"/>
            <w:tcBorders>
              <w:top w:val="single" w:sz="4" w:space="0" w:color="00695C"/>
              <w:left w:val="single" w:sz="4" w:space="0" w:color="00695C"/>
              <w:bottom w:val="single" w:sz="4" w:space="0" w:color="00695C"/>
              <w:right w:val="single" w:sz="4" w:space="0" w:color="00695C"/>
            </w:tcBorders>
            <w:tcMar>
              <w:top w:w="100" w:type="dxa"/>
              <w:left w:w="150" w:type="dxa"/>
              <w:bottom w:w="100" w:type="dxa"/>
              <w:right w:w="150" w:type="dxa"/>
            </w:tcMar>
          </w:tcPr>
          <w:p w14:paraId="61D69272" w14:textId="77777777" w:rsidR="005241BA" w:rsidRPr="009939CB" w:rsidRDefault="005241BA" w:rsidP="00E17999">
            <w:pPr>
              <w:rPr>
                <w:b/>
                <w:bCs/>
              </w:rPr>
            </w:pPr>
            <w:r w:rsidRPr="009939CB">
              <w:rPr>
                <w:b/>
                <w:bCs/>
              </w:rPr>
              <w:t>group</w:t>
            </w:r>
          </w:p>
        </w:tc>
        <w:tc>
          <w:tcPr>
            <w:tcW w:w="6826"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7FBD08FC" w14:textId="77777777" w:rsidR="005241BA" w:rsidRDefault="005241BA" w:rsidP="00E17999">
            <w:r>
              <w:t>INCEPTION</w:t>
            </w:r>
          </w:p>
        </w:tc>
      </w:tr>
      <w:tr w:rsidR="005241BA" w14:paraId="42759F41" w14:textId="77777777" w:rsidTr="00E17999">
        <w:tblPrEx>
          <w:tblCellMar>
            <w:top w:w="0" w:type="dxa"/>
            <w:bottom w:w="0" w:type="dxa"/>
          </w:tblCellMar>
        </w:tblPrEx>
        <w:tc>
          <w:tcPr>
            <w:tcW w:w="2200" w:type="dxa"/>
            <w:tcBorders>
              <w:top w:val="single" w:sz="4" w:space="0" w:color="00695C"/>
              <w:left w:val="single" w:sz="4" w:space="0" w:color="00695C"/>
              <w:bottom w:val="single" w:sz="4" w:space="0" w:color="00695C"/>
              <w:right w:val="single" w:sz="4" w:space="0" w:color="00695C"/>
            </w:tcBorders>
            <w:tcMar>
              <w:top w:w="100" w:type="dxa"/>
              <w:left w:w="150" w:type="dxa"/>
              <w:bottom w:w="100" w:type="dxa"/>
              <w:right w:w="150" w:type="dxa"/>
            </w:tcMar>
          </w:tcPr>
          <w:p w14:paraId="577B1AF2" w14:textId="77777777" w:rsidR="005241BA" w:rsidRPr="009939CB" w:rsidRDefault="005241BA" w:rsidP="00E17999">
            <w:pPr>
              <w:rPr>
                <w:b/>
                <w:bCs/>
              </w:rPr>
            </w:pPr>
            <w:r w:rsidRPr="009939CB">
              <w:rPr>
                <w:b/>
                <w:bCs/>
              </w:rPr>
              <w:t>Module</w:t>
            </w:r>
          </w:p>
        </w:tc>
        <w:tc>
          <w:tcPr>
            <w:tcW w:w="6826"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28C5AC74" w14:textId="77777777" w:rsidR="005241BA" w:rsidRDefault="005241BA" w:rsidP="00E17999">
            <w:r>
              <w:t>503IT – Communication and Collaboration</w:t>
            </w:r>
          </w:p>
        </w:tc>
      </w:tr>
      <w:tr w:rsidR="005241BA" w14:paraId="41B78897" w14:textId="77777777" w:rsidTr="00E17999">
        <w:tblPrEx>
          <w:tblCellMar>
            <w:top w:w="0" w:type="dxa"/>
            <w:bottom w:w="0" w:type="dxa"/>
          </w:tblCellMar>
        </w:tblPrEx>
        <w:tc>
          <w:tcPr>
            <w:tcW w:w="2200" w:type="dxa"/>
            <w:tcBorders>
              <w:top w:val="single" w:sz="4" w:space="0" w:color="00695C"/>
              <w:left w:val="single" w:sz="4" w:space="0" w:color="00695C"/>
              <w:bottom w:val="single" w:sz="4" w:space="0" w:color="00695C"/>
              <w:right w:val="single" w:sz="4" w:space="0" w:color="00695C"/>
            </w:tcBorders>
            <w:tcMar>
              <w:top w:w="100" w:type="dxa"/>
              <w:left w:w="150" w:type="dxa"/>
              <w:bottom w:w="100" w:type="dxa"/>
              <w:right w:w="150" w:type="dxa"/>
            </w:tcMar>
          </w:tcPr>
          <w:p w14:paraId="356B5489" w14:textId="77777777" w:rsidR="005241BA" w:rsidRPr="009939CB" w:rsidRDefault="005241BA" w:rsidP="00E17999">
            <w:pPr>
              <w:rPr>
                <w:b/>
                <w:bCs/>
              </w:rPr>
            </w:pPr>
            <w:r w:rsidRPr="009939CB">
              <w:rPr>
                <w:b/>
                <w:bCs/>
              </w:rPr>
              <w:t>Date</w:t>
            </w:r>
          </w:p>
        </w:tc>
        <w:tc>
          <w:tcPr>
            <w:tcW w:w="6826"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7196D007" w14:textId="77777777" w:rsidR="005241BA" w:rsidRDefault="005241BA" w:rsidP="00E17999">
            <w:r>
              <w:t xml:space="preserve">Week 2 day1 and day2 </w:t>
            </w:r>
          </w:p>
        </w:tc>
      </w:tr>
      <w:tr w:rsidR="005241BA" w14:paraId="1C021092" w14:textId="77777777" w:rsidTr="00E17999">
        <w:tblPrEx>
          <w:tblCellMar>
            <w:top w:w="0" w:type="dxa"/>
            <w:bottom w:w="0" w:type="dxa"/>
          </w:tblCellMar>
        </w:tblPrEx>
        <w:tc>
          <w:tcPr>
            <w:tcW w:w="2200" w:type="dxa"/>
            <w:tcBorders>
              <w:top w:val="single" w:sz="4" w:space="0" w:color="00695C"/>
              <w:left w:val="single" w:sz="4" w:space="0" w:color="00695C"/>
              <w:bottom w:val="single" w:sz="4" w:space="0" w:color="00695C"/>
              <w:right w:val="single" w:sz="4" w:space="0" w:color="00695C"/>
            </w:tcBorders>
            <w:tcMar>
              <w:top w:w="100" w:type="dxa"/>
              <w:left w:w="150" w:type="dxa"/>
              <w:bottom w:w="100" w:type="dxa"/>
              <w:right w:w="150" w:type="dxa"/>
            </w:tcMar>
          </w:tcPr>
          <w:p w14:paraId="38FFDFFF" w14:textId="77777777" w:rsidR="005241BA" w:rsidRPr="009939CB" w:rsidRDefault="005241BA" w:rsidP="00E17999">
            <w:pPr>
              <w:rPr>
                <w:b/>
                <w:bCs/>
              </w:rPr>
            </w:pPr>
            <w:r w:rsidRPr="009939CB">
              <w:rPr>
                <w:b/>
                <w:bCs/>
              </w:rPr>
              <w:t>Purpose</w:t>
            </w:r>
          </w:p>
        </w:tc>
        <w:tc>
          <w:tcPr>
            <w:tcW w:w="6826"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4B411CFE" w14:textId="77777777" w:rsidR="005241BA" w:rsidRDefault="005241BA" w:rsidP="00E17999">
            <w:r>
              <w:t>To identify phishing techniques targeting older adults and inform the game scenario content for Email Simulator – Trust or Trap?</w:t>
            </w:r>
          </w:p>
        </w:tc>
      </w:tr>
      <w:tr w:rsidR="005241BA" w14:paraId="2556232A" w14:textId="77777777" w:rsidTr="00E17999">
        <w:tblPrEx>
          <w:tblCellMar>
            <w:top w:w="0" w:type="dxa"/>
            <w:bottom w:w="0" w:type="dxa"/>
          </w:tblCellMar>
        </w:tblPrEx>
        <w:tc>
          <w:tcPr>
            <w:tcW w:w="2200" w:type="dxa"/>
            <w:tcBorders>
              <w:top w:val="single" w:sz="4" w:space="0" w:color="00695C"/>
              <w:left w:val="single" w:sz="4" w:space="0" w:color="00695C"/>
              <w:bottom w:val="single" w:sz="4" w:space="0" w:color="00695C"/>
              <w:right w:val="single" w:sz="4" w:space="0" w:color="00695C"/>
            </w:tcBorders>
            <w:tcMar>
              <w:top w:w="100" w:type="dxa"/>
              <w:left w:w="150" w:type="dxa"/>
              <w:bottom w:w="100" w:type="dxa"/>
              <w:right w:w="150" w:type="dxa"/>
            </w:tcMar>
          </w:tcPr>
          <w:p w14:paraId="164271C8" w14:textId="77777777" w:rsidR="005241BA" w:rsidRPr="009939CB" w:rsidRDefault="005241BA" w:rsidP="00E17999">
            <w:pPr>
              <w:rPr>
                <w:b/>
                <w:bCs/>
              </w:rPr>
            </w:pPr>
            <w:r w:rsidRPr="009939CB">
              <w:rPr>
                <w:b/>
                <w:bCs/>
              </w:rPr>
              <w:t>status</w:t>
            </w:r>
          </w:p>
        </w:tc>
        <w:tc>
          <w:tcPr>
            <w:tcW w:w="6826"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0E13B6BD" w14:textId="77777777" w:rsidR="005241BA" w:rsidRDefault="005241BA" w:rsidP="00E17999">
            <w:r>
              <w:t>Final – submitted to group before development phase (Week 2 meeting)</w:t>
            </w:r>
          </w:p>
        </w:tc>
      </w:tr>
    </w:tbl>
    <w:p w14:paraId="748FC611" w14:textId="77777777" w:rsidR="005241BA" w:rsidRDefault="005241BA" w:rsidP="005241BA">
      <w:pPr>
        <w:spacing w:after="120"/>
      </w:pPr>
    </w:p>
    <w:p w14:paraId="4AAE62C6" w14:textId="77777777" w:rsidR="005241BA" w:rsidRPr="005573FF" w:rsidRDefault="005241BA" w:rsidP="005241BA">
      <w:pPr>
        <w:pStyle w:val="Heading1"/>
      </w:pPr>
      <w:r w:rsidRPr="005573FF">
        <w:t>1. Purpose and Scop</w:t>
      </w:r>
      <w:r>
        <w:t>:</w:t>
      </w:r>
    </w:p>
    <w:p w14:paraId="1F1035A6" w14:textId="77777777" w:rsidR="005241BA" w:rsidRDefault="005241BA" w:rsidP="005241BA">
      <w:pPr>
        <w:spacing w:after="180" w:line="276" w:lineRule="auto"/>
        <w:jc w:val="both"/>
      </w:pPr>
      <w:r>
        <w:t>This document records the structured research I conducted as Research Lead for the 503IT group project. The objective was to identify the most prevalent and impactful phishing techniques used against adults aged 55 and above, and to translate these findings into realistic, educationally accurate email scenarios for the Email Simulator -Trust or Trap? prototype.</w:t>
      </w:r>
    </w:p>
    <w:p w14:paraId="4BE6F47A" w14:textId="77777777" w:rsidR="005241BA" w:rsidRDefault="005241BA" w:rsidP="005241BA">
      <w:pPr>
        <w:spacing w:after="180" w:line="276" w:lineRule="auto"/>
        <w:jc w:val="both"/>
      </w:pPr>
      <w:r>
        <w:t>All sources used are publicly available, credible, and ethically gathered. No primary data was collected from human participants. Research was conducted between Week 1 and Week 2 of the project.</w:t>
      </w:r>
    </w:p>
    <w:p w14:paraId="4DF51F67" w14:textId="77777777" w:rsidR="00840428" w:rsidRDefault="00840428" w:rsidP="005241BA">
      <w:pPr>
        <w:spacing w:after="180" w:line="276" w:lineRule="auto"/>
        <w:jc w:val="both"/>
      </w:pPr>
    </w:p>
    <w:p w14:paraId="769125E0" w14:textId="77777777" w:rsidR="00840428" w:rsidRDefault="00840428" w:rsidP="005241BA">
      <w:pPr>
        <w:spacing w:after="180" w:line="276" w:lineRule="auto"/>
        <w:jc w:val="both"/>
      </w:pPr>
    </w:p>
    <w:p w14:paraId="41140B57" w14:textId="77777777" w:rsidR="00840428" w:rsidRDefault="00840428" w:rsidP="005241BA">
      <w:pPr>
        <w:spacing w:after="180" w:line="276" w:lineRule="auto"/>
        <w:jc w:val="both"/>
      </w:pPr>
    </w:p>
    <w:p w14:paraId="66AE0E97" w14:textId="77777777" w:rsidR="00840428" w:rsidRDefault="00840428" w:rsidP="005241BA">
      <w:pPr>
        <w:spacing w:after="180" w:line="276" w:lineRule="auto"/>
        <w:jc w:val="both"/>
      </w:pPr>
    </w:p>
    <w:p w14:paraId="4FC084D2" w14:textId="77777777" w:rsidR="00840428" w:rsidRDefault="00840428" w:rsidP="005241BA">
      <w:pPr>
        <w:spacing w:after="180" w:line="276" w:lineRule="auto"/>
        <w:jc w:val="both"/>
      </w:pPr>
    </w:p>
    <w:p w14:paraId="4CDBB02A" w14:textId="77777777" w:rsidR="00840428" w:rsidRDefault="00840428" w:rsidP="005241BA">
      <w:pPr>
        <w:spacing w:after="180" w:line="276" w:lineRule="auto"/>
        <w:jc w:val="both"/>
      </w:pPr>
    </w:p>
    <w:p w14:paraId="22E486C3" w14:textId="77777777" w:rsidR="00840428" w:rsidRDefault="00840428" w:rsidP="005241BA">
      <w:pPr>
        <w:spacing w:after="180" w:line="276" w:lineRule="auto"/>
        <w:jc w:val="both"/>
      </w:pPr>
    </w:p>
    <w:p w14:paraId="4DA4CE53" w14:textId="77777777" w:rsidR="00840428" w:rsidRDefault="00840428" w:rsidP="005241BA">
      <w:pPr>
        <w:spacing w:after="180" w:line="276" w:lineRule="auto"/>
        <w:jc w:val="both"/>
      </w:pPr>
    </w:p>
    <w:p w14:paraId="763DB79F" w14:textId="77777777" w:rsidR="005241BA" w:rsidRPr="005573FF" w:rsidRDefault="005241BA" w:rsidP="005241BA">
      <w:pPr>
        <w:pStyle w:val="Heading1"/>
      </w:pPr>
      <w:r w:rsidRPr="005573FF">
        <w:lastRenderedPageBreak/>
        <w:t>2. Key Source</w:t>
      </w:r>
      <w:r>
        <w: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226"/>
        <w:gridCol w:w="3400"/>
      </w:tblGrid>
      <w:tr w:rsidR="005241BA" w14:paraId="2F3A5F96" w14:textId="77777777" w:rsidTr="00E17999">
        <w:tblPrEx>
          <w:tblCellMar>
            <w:top w:w="0" w:type="dxa"/>
            <w:bottom w:w="0" w:type="dxa"/>
          </w:tblCellMar>
        </w:tblPrEx>
        <w:tc>
          <w:tcPr>
            <w:tcW w:w="3400" w:type="dxa"/>
            <w:tcBorders>
              <w:top w:val="single" w:sz="4" w:space="0" w:color="0D2545"/>
              <w:left w:val="single" w:sz="4" w:space="0" w:color="0D2545"/>
              <w:bottom w:val="single" w:sz="4" w:space="0" w:color="0D2545"/>
              <w:right w:val="single" w:sz="4" w:space="0" w:color="0D2545"/>
            </w:tcBorders>
            <w:tcMar>
              <w:top w:w="120" w:type="dxa"/>
              <w:left w:w="160" w:type="dxa"/>
              <w:bottom w:w="120" w:type="dxa"/>
              <w:right w:w="160" w:type="dxa"/>
            </w:tcMar>
            <w:vAlign w:val="center"/>
          </w:tcPr>
          <w:p w14:paraId="38BA3DA8" w14:textId="77777777" w:rsidR="005241BA" w:rsidRPr="009939CB" w:rsidRDefault="005241BA" w:rsidP="00E17999">
            <w:pPr>
              <w:rPr>
                <w:color w:val="auto"/>
              </w:rPr>
            </w:pPr>
            <w:r w:rsidRPr="009939CB">
              <w:rPr>
                <w:b/>
                <w:bCs/>
                <w:color w:val="auto"/>
                <w:sz w:val="21"/>
                <w:szCs w:val="21"/>
              </w:rPr>
              <w:t>Source</w:t>
            </w:r>
          </w:p>
        </w:tc>
        <w:tc>
          <w:tcPr>
            <w:tcW w:w="2226" w:type="dxa"/>
            <w:tcBorders>
              <w:top w:val="single" w:sz="4" w:space="0" w:color="0D2545"/>
              <w:left w:val="single" w:sz="4" w:space="0" w:color="0D2545"/>
              <w:bottom w:val="single" w:sz="4" w:space="0" w:color="0D2545"/>
              <w:right w:val="single" w:sz="4" w:space="0" w:color="0D2545"/>
            </w:tcBorders>
            <w:tcMar>
              <w:top w:w="120" w:type="dxa"/>
              <w:left w:w="160" w:type="dxa"/>
              <w:bottom w:w="120" w:type="dxa"/>
              <w:right w:w="160" w:type="dxa"/>
            </w:tcMar>
            <w:vAlign w:val="center"/>
          </w:tcPr>
          <w:p w14:paraId="5BDC2946" w14:textId="77777777" w:rsidR="005241BA" w:rsidRPr="009939CB" w:rsidRDefault="005241BA" w:rsidP="00E17999">
            <w:pPr>
              <w:rPr>
                <w:color w:val="auto"/>
              </w:rPr>
            </w:pPr>
            <w:r w:rsidRPr="009939CB">
              <w:rPr>
                <w:b/>
                <w:bCs/>
                <w:color w:val="auto"/>
                <w:sz w:val="21"/>
                <w:szCs w:val="21"/>
              </w:rPr>
              <w:t>Type</w:t>
            </w:r>
          </w:p>
        </w:tc>
        <w:tc>
          <w:tcPr>
            <w:tcW w:w="3400" w:type="dxa"/>
            <w:tcBorders>
              <w:top w:val="single" w:sz="4" w:space="0" w:color="0D2545"/>
              <w:left w:val="single" w:sz="4" w:space="0" w:color="0D2545"/>
              <w:bottom w:val="single" w:sz="4" w:space="0" w:color="0D2545"/>
              <w:right w:val="single" w:sz="4" w:space="0" w:color="0D2545"/>
            </w:tcBorders>
            <w:tcMar>
              <w:top w:w="120" w:type="dxa"/>
              <w:left w:w="160" w:type="dxa"/>
              <w:bottom w:w="120" w:type="dxa"/>
              <w:right w:w="160" w:type="dxa"/>
            </w:tcMar>
            <w:vAlign w:val="center"/>
          </w:tcPr>
          <w:p w14:paraId="28285B11" w14:textId="77777777" w:rsidR="005241BA" w:rsidRPr="009939CB" w:rsidRDefault="005241BA" w:rsidP="00E17999">
            <w:pPr>
              <w:rPr>
                <w:color w:val="auto"/>
              </w:rPr>
            </w:pPr>
            <w:r w:rsidRPr="009939CB">
              <w:rPr>
                <w:b/>
                <w:bCs/>
                <w:color w:val="auto"/>
                <w:sz w:val="21"/>
                <w:szCs w:val="21"/>
              </w:rPr>
              <w:t>Relevance to Project</w:t>
            </w:r>
          </w:p>
        </w:tc>
      </w:tr>
      <w:tr w:rsidR="005241BA" w14:paraId="4EF4B74D" w14:textId="77777777" w:rsidTr="00E17999">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tcMar>
              <w:top w:w="110" w:type="dxa"/>
              <w:left w:w="160" w:type="dxa"/>
              <w:bottom w:w="110" w:type="dxa"/>
              <w:right w:w="160" w:type="dxa"/>
            </w:tcMar>
          </w:tcPr>
          <w:p w14:paraId="6D71D11C" w14:textId="77777777" w:rsidR="005241BA" w:rsidRDefault="005241BA" w:rsidP="00E17999">
            <w:r>
              <w:rPr>
                <w:sz w:val="21"/>
                <w:szCs w:val="21"/>
              </w:rPr>
              <w:t>National Cyber Security Centre (NCSC, 2023). Phishing attacks: Defending your organisation.</w:t>
            </w:r>
          </w:p>
        </w:tc>
        <w:tc>
          <w:tcPr>
            <w:tcW w:w="2226" w:type="dxa"/>
            <w:tcBorders>
              <w:top w:val="single" w:sz="4" w:space="0" w:color="CCCCCC"/>
              <w:left w:val="single" w:sz="4" w:space="0" w:color="CCCCCC"/>
              <w:bottom w:val="single" w:sz="4" w:space="0" w:color="CCCCCC"/>
              <w:right w:val="single" w:sz="4" w:space="0" w:color="CCCCCC"/>
            </w:tcBorders>
            <w:tcMar>
              <w:top w:w="110" w:type="dxa"/>
              <w:left w:w="160" w:type="dxa"/>
              <w:bottom w:w="110" w:type="dxa"/>
              <w:right w:w="160" w:type="dxa"/>
            </w:tcMar>
          </w:tcPr>
          <w:p w14:paraId="42701449" w14:textId="77777777" w:rsidR="005241BA" w:rsidRDefault="005241BA" w:rsidP="00E17999">
            <w:r>
              <w:rPr>
                <w:color w:val="00695C"/>
                <w:sz w:val="21"/>
                <w:szCs w:val="21"/>
              </w:rPr>
              <w:t>Government guidance</w:t>
            </w:r>
          </w:p>
        </w:tc>
        <w:tc>
          <w:tcPr>
            <w:tcW w:w="3400" w:type="dxa"/>
            <w:tcBorders>
              <w:top w:val="single" w:sz="4" w:space="0" w:color="CCCCCC"/>
              <w:left w:val="single" w:sz="4" w:space="0" w:color="CCCCCC"/>
              <w:bottom w:val="single" w:sz="4" w:space="0" w:color="CCCCCC"/>
              <w:right w:val="single" w:sz="4" w:space="0" w:color="CCCCCC"/>
            </w:tcBorders>
            <w:tcMar>
              <w:top w:w="110" w:type="dxa"/>
              <w:left w:w="160" w:type="dxa"/>
              <w:bottom w:w="110" w:type="dxa"/>
              <w:right w:w="160" w:type="dxa"/>
            </w:tcMar>
          </w:tcPr>
          <w:p w14:paraId="60C70AC3" w14:textId="77777777" w:rsidR="005241BA" w:rsidRDefault="005241BA" w:rsidP="00E17999">
            <w:r>
              <w:rPr>
                <w:sz w:val="21"/>
                <w:szCs w:val="21"/>
              </w:rPr>
              <w:t>Primary source for phishing definitions, attack categories, and real-world indicator examples.</w:t>
            </w:r>
          </w:p>
        </w:tc>
      </w:tr>
      <w:tr w:rsidR="005241BA" w14:paraId="2F8B44AB" w14:textId="77777777" w:rsidTr="00E17999">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tcMar>
              <w:top w:w="110" w:type="dxa"/>
              <w:left w:w="160" w:type="dxa"/>
              <w:bottom w:w="110" w:type="dxa"/>
              <w:right w:w="160" w:type="dxa"/>
            </w:tcMar>
          </w:tcPr>
          <w:p w14:paraId="1D28E45C" w14:textId="77777777" w:rsidR="005241BA" w:rsidRDefault="005241BA" w:rsidP="00E17999">
            <w:r>
              <w:rPr>
                <w:sz w:val="21"/>
                <w:szCs w:val="21"/>
              </w:rPr>
              <w:t>Action Fraud (2024). Annual fraud and cybercrime report 2024.</w:t>
            </w:r>
          </w:p>
        </w:tc>
        <w:tc>
          <w:tcPr>
            <w:tcW w:w="2226" w:type="dxa"/>
            <w:tcBorders>
              <w:top w:val="single" w:sz="4" w:space="0" w:color="CCCCCC"/>
              <w:left w:val="single" w:sz="4" w:space="0" w:color="CCCCCC"/>
              <w:bottom w:val="single" w:sz="4" w:space="0" w:color="CCCCCC"/>
              <w:right w:val="single" w:sz="4" w:space="0" w:color="CCCCCC"/>
            </w:tcBorders>
            <w:tcMar>
              <w:top w:w="110" w:type="dxa"/>
              <w:left w:w="160" w:type="dxa"/>
              <w:bottom w:w="110" w:type="dxa"/>
              <w:right w:w="160" w:type="dxa"/>
            </w:tcMar>
          </w:tcPr>
          <w:p w14:paraId="44CD59AA" w14:textId="77777777" w:rsidR="005241BA" w:rsidRDefault="005241BA" w:rsidP="00E17999">
            <w:r>
              <w:rPr>
                <w:color w:val="00695C"/>
                <w:sz w:val="21"/>
                <w:szCs w:val="21"/>
              </w:rPr>
              <w:t>Crime statistics</w:t>
            </w:r>
          </w:p>
        </w:tc>
        <w:tc>
          <w:tcPr>
            <w:tcW w:w="3400" w:type="dxa"/>
            <w:tcBorders>
              <w:top w:val="single" w:sz="4" w:space="0" w:color="CCCCCC"/>
              <w:left w:val="single" w:sz="4" w:space="0" w:color="CCCCCC"/>
              <w:bottom w:val="single" w:sz="4" w:space="0" w:color="CCCCCC"/>
              <w:right w:val="single" w:sz="4" w:space="0" w:color="CCCCCC"/>
            </w:tcBorders>
            <w:tcMar>
              <w:top w:w="110" w:type="dxa"/>
              <w:left w:w="160" w:type="dxa"/>
              <w:bottom w:w="110" w:type="dxa"/>
              <w:right w:w="160" w:type="dxa"/>
            </w:tcMar>
          </w:tcPr>
          <w:p w14:paraId="14F5AA19" w14:textId="77777777" w:rsidR="005241BA" w:rsidRDefault="005241BA" w:rsidP="00E17999">
            <w:r>
              <w:rPr>
                <w:sz w:val="21"/>
                <w:szCs w:val="21"/>
              </w:rPr>
              <w:t>Provided statistics on prevalence and demographic targeting of phishing attacks in England and Wales.</w:t>
            </w:r>
          </w:p>
        </w:tc>
      </w:tr>
      <w:tr w:rsidR="005241BA" w14:paraId="4594A0C7" w14:textId="77777777" w:rsidTr="00E17999">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tcMar>
              <w:top w:w="110" w:type="dxa"/>
              <w:left w:w="160" w:type="dxa"/>
              <w:bottom w:w="110" w:type="dxa"/>
              <w:right w:w="160" w:type="dxa"/>
            </w:tcMar>
          </w:tcPr>
          <w:p w14:paraId="0CD627D2" w14:textId="77777777" w:rsidR="005241BA" w:rsidRDefault="005241BA" w:rsidP="00E17999">
            <w:r>
              <w:rPr>
                <w:sz w:val="21"/>
                <w:szCs w:val="21"/>
              </w:rPr>
              <w:t>Get Safe Online (2024). How to spot a phishing email.</w:t>
            </w:r>
          </w:p>
        </w:tc>
        <w:tc>
          <w:tcPr>
            <w:tcW w:w="2226" w:type="dxa"/>
            <w:tcBorders>
              <w:top w:val="single" w:sz="4" w:space="0" w:color="CCCCCC"/>
              <w:left w:val="single" w:sz="4" w:space="0" w:color="CCCCCC"/>
              <w:bottom w:val="single" w:sz="4" w:space="0" w:color="CCCCCC"/>
              <w:right w:val="single" w:sz="4" w:space="0" w:color="CCCCCC"/>
            </w:tcBorders>
            <w:tcMar>
              <w:top w:w="110" w:type="dxa"/>
              <w:left w:w="160" w:type="dxa"/>
              <w:bottom w:w="110" w:type="dxa"/>
              <w:right w:w="160" w:type="dxa"/>
            </w:tcMar>
          </w:tcPr>
          <w:p w14:paraId="0EC252A6" w14:textId="77777777" w:rsidR="005241BA" w:rsidRDefault="005241BA" w:rsidP="00E17999">
            <w:r>
              <w:rPr>
                <w:color w:val="00695C"/>
                <w:sz w:val="21"/>
                <w:szCs w:val="21"/>
              </w:rPr>
              <w:t>Public awareness</w:t>
            </w:r>
          </w:p>
        </w:tc>
        <w:tc>
          <w:tcPr>
            <w:tcW w:w="3400" w:type="dxa"/>
            <w:tcBorders>
              <w:top w:val="single" w:sz="4" w:space="0" w:color="CCCCCC"/>
              <w:left w:val="single" w:sz="4" w:space="0" w:color="CCCCCC"/>
              <w:bottom w:val="single" w:sz="4" w:space="0" w:color="CCCCCC"/>
              <w:right w:val="single" w:sz="4" w:space="0" w:color="CCCCCC"/>
            </w:tcBorders>
            <w:tcMar>
              <w:top w:w="110" w:type="dxa"/>
              <w:left w:w="160" w:type="dxa"/>
              <w:bottom w:w="110" w:type="dxa"/>
              <w:right w:w="160" w:type="dxa"/>
            </w:tcMar>
          </w:tcPr>
          <w:p w14:paraId="4FE955FD" w14:textId="77777777" w:rsidR="005241BA" w:rsidRDefault="005241BA" w:rsidP="00E17999">
            <w:r>
              <w:rPr>
                <w:sz w:val="21"/>
                <w:szCs w:val="21"/>
              </w:rPr>
              <w:t>Plain-language guidance used to verify that identified indicators are accessible to non-technical users.</w:t>
            </w:r>
          </w:p>
        </w:tc>
      </w:tr>
      <w:tr w:rsidR="00070779" w14:paraId="56A62ED5" w14:textId="77777777" w:rsidTr="00E17999">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tcMar>
              <w:top w:w="110" w:type="dxa"/>
              <w:left w:w="160" w:type="dxa"/>
              <w:bottom w:w="110" w:type="dxa"/>
              <w:right w:w="160" w:type="dxa"/>
            </w:tcMar>
          </w:tcPr>
          <w:p w14:paraId="79272453" w14:textId="77777777" w:rsidR="00070779" w:rsidRDefault="00070779" w:rsidP="00E17999">
            <w:r>
              <w:rPr>
                <w:sz w:val="21"/>
                <w:szCs w:val="21"/>
              </w:rPr>
              <w:t>Ofcom (2023). Adults’ media use and attitudes report.</w:t>
            </w:r>
          </w:p>
        </w:tc>
        <w:tc>
          <w:tcPr>
            <w:tcW w:w="2226" w:type="dxa"/>
            <w:tcBorders>
              <w:top w:val="single" w:sz="4" w:space="0" w:color="CCCCCC"/>
              <w:left w:val="single" w:sz="4" w:space="0" w:color="CCCCCC"/>
              <w:bottom w:val="single" w:sz="4" w:space="0" w:color="CCCCCC"/>
              <w:right w:val="single" w:sz="4" w:space="0" w:color="CCCCCC"/>
            </w:tcBorders>
            <w:tcMar>
              <w:top w:w="110" w:type="dxa"/>
              <w:left w:w="160" w:type="dxa"/>
              <w:bottom w:w="110" w:type="dxa"/>
              <w:right w:w="160" w:type="dxa"/>
            </w:tcMar>
          </w:tcPr>
          <w:p w14:paraId="6DA984A7" w14:textId="77777777" w:rsidR="00070779" w:rsidRDefault="00070779" w:rsidP="00E17999">
            <w:r>
              <w:rPr>
                <w:color w:val="00695C"/>
                <w:sz w:val="21"/>
                <w:szCs w:val="21"/>
              </w:rPr>
              <w:t>Research report</w:t>
            </w:r>
          </w:p>
        </w:tc>
        <w:tc>
          <w:tcPr>
            <w:tcW w:w="3400" w:type="dxa"/>
            <w:tcBorders>
              <w:top w:val="single" w:sz="4" w:space="0" w:color="CCCCCC"/>
              <w:left w:val="single" w:sz="4" w:space="0" w:color="CCCCCC"/>
              <w:bottom w:val="single" w:sz="4" w:space="0" w:color="CCCCCC"/>
              <w:right w:val="single" w:sz="4" w:space="0" w:color="CCCCCC"/>
            </w:tcBorders>
            <w:tcMar>
              <w:top w:w="110" w:type="dxa"/>
              <w:left w:w="160" w:type="dxa"/>
              <w:bottom w:w="110" w:type="dxa"/>
              <w:right w:w="160" w:type="dxa"/>
            </w:tcMar>
          </w:tcPr>
          <w:p w14:paraId="1B52E84A" w14:textId="77777777" w:rsidR="00070779" w:rsidRDefault="00070779" w:rsidP="00E17999">
            <w:r>
              <w:rPr>
                <w:sz w:val="21"/>
                <w:szCs w:val="21"/>
              </w:rPr>
              <w:t>Provided data on internet use patterns and digital confidence levels among adults aged 55+, justifying target audience.</w:t>
            </w:r>
          </w:p>
        </w:tc>
      </w:tr>
      <w:tr w:rsidR="00070779" w14:paraId="1F8C0007" w14:textId="77777777" w:rsidTr="00E17999">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tcMar>
              <w:top w:w="110" w:type="dxa"/>
              <w:left w:w="160" w:type="dxa"/>
              <w:bottom w:w="110" w:type="dxa"/>
              <w:right w:w="160" w:type="dxa"/>
            </w:tcMar>
          </w:tcPr>
          <w:p w14:paraId="405F73F3" w14:textId="77777777" w:rsidR="00070779" w:rsidRDefault="00070779" w:rsidP="00E17999">
            <w:r>
              <w:rPr>
                <w:sz w:val="21"/>
                <w:szCs w:val="21"/>
              </w:rPr>
              <w:t>UK Finance (2024). Annual fraud report.</w:t>
            </w:r>
          </w:p>
        </w:tc>
        <w:tc>
          <w:tcPr>
            <w:tcW w:w="2226" w:type="dxa"/>
            <w:tcBorders>
              <w:top w:val="single" w:sz="4" w:space="0" w:color="CCCCCC"/>
              <w:left w:val="single" w:sz="4" w:space="0" w:color="CCCCCC"/>
              <w:bottom w:val="single" w:sz="4" w:space="0" w:color="CCCCCC"/>
              <w:right w:val="single" w:sz="4" w:space="0" w:color="CCCCCC"/>
            </w:tcBorders>
            <w:tcMar>
              <w:top w:w="110" w:type="dxa"/>
              <w:left w:w="160" w:type="dxa"/>
              <w:bottom w:w="110" w:type="dxa"/>
              <w:right w:w="160" w:type="dxa"/>
            </w:tcMar>
          </w:tcPr>
          <w:p w14:paraId="28F01190" w14:textId="77777777" w:rsidR="00070779" w:rsidRDefault="00070779" w:rsidP="00E17999">
            <w:r>
              <w:rPr>
                <w:color w:val="00695C"/>
                <w:sz w:val="21"/>
                <w:szCs w:val="21"/>
              </w:rPr>
              <w:t>Industry report</w:t>
            </w:r>
          </w:p>
        </w:tc>
        <w:tc>
          <w:tcPr>
            <w:tcW w:w="3400" w:type="dxa"/>
            <w:tcBorders>
              <w:top w:val="single" w:sz="4" w:space="0" w:color="CCCCCC"/>
              <w:left w:val="single" w:sz="4" w:space="0" w:color="CCCCCC"/>
              <w:bottom w:val="single" w:sz="4" w:space="0" w:color="CCCCCC"/>
              <w:right w:val="single" w:sz="4" w:space="0" w:color="CCCCCC"/>
            </w:tcBorders>
            <w:tcMar>
              <w:top w:w="110" w:type="dxa"/>
              <w:left w:w="160" w:type="dxa"/>
              <w:bottom w:w="110" w:type="dxa"/>
              <w:right w:w="160" w:type="dxa"/>
            </w:tcMar>
          </w:tcPr>
          <w:p w14:paraId="1CDE8473" w14:textId="77777777" w:rsidR="00070779" w:rsidRDefault="00070779" w:rsidP="00E17999">
            <w:r>
              <w:rPr>
                <w:sz w:val="21"/>
                <w:szCs w:val="21"/>
              </w:rPr>
              <w:t>Confirmed financial impact of phishing; supported the urgency framing in the project rationale.</w:t>
            </w:r>
          </w:p>
        </w:tc>
      </w:tr>
    </w:tbl>
    <w:p w14:paraId="58E9D49F" w14:textId="77777777" w:rsidR="00070779" w:rsidRDefault="00070779" w:rsidP="00070779">
      <w:pPr>
        <w:spacing w:after="100"/>
      </w:pPr>
    </w:p>
    <w:p w14:paraId="629E190C" w14:textId="77777777" w:rsidR="009738F4" w:rsidRDefault="009738F4" w:rsidP="009738F4">
      <w:pPr>
        <w:pStyle w:val="Heading1"/>
      </w:pPr>
      <w:r>
        <w:rPr>
          <w:rFonts w:eastAsia="Arial"/>
        </w:rPr>
        <w:t>3. Phishing Techniques Identified</w:t>
      </w:r>
      <w:r>
        <w:t>:</w:t>
      </w:r>
    </w:p>
    <w:p w14:paraId="6633C65C" w14:textId="77777777" w:rsidR="009738F4" w:rsidRDefault="009738F4" w:rsidP="009738F4">
      <w:pPr>
        <w:spacing w:after="180" w:line="276" w:lineRule="auto"/>
        <w:jc w:val="both"/>
      </w:pPr>
      <w:r>
        <w:t>Based on the sources above, I identified five phishing categories as most relevant to our target audience. Each category is described below with source evidence, specific indicators, and a rationale for inclusion in the game.</w:t>
      </w:r>
    </w:p>
    <w:p w14:paraId="6B4DB1ED" w14:textId="77777777" w:rsidR="009738F4" w:rsidRPr="005573FF" w:rsidRDefault="009738F4" w:rsidP="009738F4">
      <w:pPr>
        <w:pStyle w:val="Heading2"/>
      </w:pPr>
      <w:r w:rsidRPr="005573FF">
        <w:t>3.1 Brand Impersonation</w:t>
      </w:r>
    </w:p>
    <w:p w14:paraId="1EAFD0A1" w14:textId="77777777" w:rsidR="009738F4" w:rsidRDefault="009738F4" w:rsidP="009738F4">
      <w:pPr>
        <w:spacing w:after="180" w:line="276" w:lineRule="auto"/>
        <w:jc w:val="both"/>
      </w:pPr>
      <w:r>
        <w:t>Definition: Scammers send emails that appear to originate from trusted institutions such as HMRC, PayPal, banks, NHS or parcel delivery services.</w:t>
      </w:r>
    </w:p>
    <w:p w14:paraId="59E369F5" w14:textId="77777777" w:rsidR="009738F4" w:rsidRDefault="009738F4" w:rsidP="009738F4">
      <w:pPr>
        <w:spacing w:after="180" w:line="276" w:lineRule="auto"/>
        <w:jc w:val="both"/>
      </w:pPr>
      <w:r>
        <w:t>Evidence: NCSC (2023) identifies brand impersonation as the most common phishing vector in the UK. Action Fraud (2024) reports that HMRC and parcel delivery brands are the most frequently impersonated in scams targeting older adults.</w:t>
      </w:r>
    </w:p>
    <w:p w14:paraId="0464C20F" w14:textId="77777777" w:rsidR="009738F4" w:rsidRDefault="009738F4" w:rsidP="009738F4">
      <w:pPr>
        <w:pStyle w:val="ListParagraph"/>
        <w:numPr>
          <w:ilvl w:val="0"/>
          <w:numId w:val="2"/>
        </w:numPr>
        <w:spacing w:after="180" w:line="276" w:lineRule="auto"/>
        <w:contextualSpacing w:val="0"/>
        <w:jc w:val="both"/>
      </w:pPr>
      <w:r>
        <w:t>Key indicators for game scenarios:</w:t>
      </w:r>
    </w:p>
    <w:p w14:paraId="28757C10" w14:textId="77777777" w:rsidR="009738F4" w:rsidRDefault="009738F4" w:rsidP="009738F4">
      <w:pPr>
        <w:pStyle w:val="ListParagraph"/>
        <w:numPr>
          <w:ilvl w:val="0"/>
          <w:numId w:val="2"/>
        </w:numPr>
        <w:spacing w:before="40" w:after="90" w:line="276" w:lineRule="auto"/>
        <w:contextualSpacing w:val="0"/>
      </w:pPr>
      <w:r>
        <w:t>Sender address domain does not match the genuine brand (e.g. hmrc-refund@gov-verify.com)</w:t>
      </w:r>
    </w:p>
    <w:p w14:paraId="3E2537A5" w14:textId="77777777" w:rsidR="009738F4" w:rsidRDefault="009738F4" w:rsidP="009738F4">
      <w:pPr>
        <w:pStyle w:val="ListParagraph"/>
        <w:numPr>
          <w:ilvl w:val="0"/>
          <w:numId w:val="2"/>
        </w:numPr>
        <w:spacing w:before="40" w:after="90" w:line="276" w:lineRule="auto"/>
        <w:contextualSpacing w:val="0"/>
      </w:pPr>
      <w:r>
        <w:t>Email uses official branding, logos, and colour schemes to create false credibility</w:t>
      </w:r>
    </w:p>
    <w:p w14:paraId="34D499DF" w14:textId="77777777" w:rsidR="009738F4" w:rsidRDefault="009738F4" w:rsidP="009738F4">
      <w:pPr>
        <w:pStyle w:val="ListParagraph"/>
        <w:numPr>
          <w:ilvl w:val="0"/>
          <w:numId w:val="2"/>
        </w:numPr>
        <w:spacing w:before="40" w:after="90" w:line="276" w:lineRule="auto"/>
        <w:contextualSpacing w:val="0"/>
      </w:pPr>
      <w:r>
        <w:t>Message references a genuine recent event (e.g. tax year end, parcel delivery) to increase believability</w:t>
      </w:r>
    </w:p>
    <w:p w14:paraId="5B1FCD30" w14:textId="77777777" w:rsidR="009738F4" w:rsidRDefault="009738F4" w:rsidP="009738F4">
      <w:pPr>
        <w:spacing w:after="60"/>
      </w:pPr>
    </w:p>
    <w:p w14:paraId="6E0F87B9" w14:textId="77777777" w:rsidR="009738F4" w:rsidRDefault="009738F4" w:rsidP="009738F4">
      <w:pPr>
        <w:spacing w:after="180" w:line="276" w:lineRule="auto"/>
        <w:jc w:val="both"/>
      </w:pPr>
      <w:r>
        <w:lastRenderedPageBreak/>
        <w:t>Inclusion rationale: High real-world frequency and direct relevance to the 55+ demographic who commonly interact with HMRC and NHS digitally.</w:t>
      </w:r>
    </w:p>
    <w:p w14:paraId="64D6A384" w14:textId="77777777" w:rsidR="009738F4" w:rsidRPr="005B43BB" w:rsidRDefault="009738F4" w:rsidP="009738F4">
      <w:pPr>
        <w:pStyle w:val="Heading2"/>
      </w:pPr>
      <w:r w:rsidRPr="005B43BB">
        <w:t>3.2 Urgency and Threat Language</w:t>
      </w:r>
    </w:p>
    <w:p w14:paraId="194BDA98" w14:textId="77777777" w:rsidR="009738F4" w:rsidRDefault="009738F4" w:rsidP="009738F4">
      <w:pPr>
        <w:spacing w:after="180" w:line="276" w:lineRule="auto"/>
        <w:jc w:val="both"/>
      </w:pPr>
      <w:r>
        <w:t>Definition: Phishing emails use time pressure and threatening language to override the recipient’s critical thinking and prompt immediate action.</w:t>
      </w:r>
    </w:p>
    <w:p w14:paraId="0E0DB251" w14:textId="77777777" w:rsidR="009738F4" w:rsidRDefault="009738F4" w:rsidP="009738F4">
      <w:pPr>
        <w:spacing w:after="180" w:line="276" w:lineRule="auto"/>
        <w:jc w:val="both"/>
      </w:pPr>
      <w:r>
        <w:t xml:space="preserve">Evidence: NCSC (2023, p.4) notes that urgency cues such as ‘your account will be closed within 24 hours’ or ‘immediate action required’ are present in </w:t>
      </w:r>
      <w:proofErr w:type="gramStart"/>
      <w:r>
        <w:t>the majority of</w:t>
      </w:r>
      <w:proofErr w:type="gramEnd"/>
      <w:r>
        <w:t xml:space="preserve"> reported phishing incidents. Get Safe Online (2024) identifies this as the single most reported indicator in public submissions.</w:t>
      </w:r>
    </w:p>
    <w:p w14:paraId="3E7E90A3" w14:textId="77777777" w:rsidR="009738F4" w:rsidRDefault="009738F4" w:rsidP="009738F4">
      <w:pPr>
        <w:pStyle w:val="ListParagraph"/>
        <w:numPr>
          <w:ilvl w:val="0"/>
          <w:numId w:val="1"/>
        </w:numPr>
        <w:spacing w:after="180" w:line="276" w:lineRule="auto"/>
        <w:contextualSpacing w:val="0"/>
        <w:jc w:val="both"/>
      </w:pPr>
      <w:r>
        <w:t>Key indicators for game scenarios:</w:t>
      </w:r>
    </w:p>
    <w:p w14:paraId="187F946F" w14:textId="77777777" w:rsidR="009738F4" w:rsidRDefault="009738F4" w:rsidP="009738F4">
      <w:pPr>
        <w:pStyle w:val="ListParagraph"/>
        <w:numPr>
          <w:ilvl w:val="0"/>
          <w:numId w:val="1"/>
        </w:numPr>
        <w:spacing w:before="40" w:after="90" w:line="276" w:lineRule="auto"/>
        <w:contextualSpacing w:val="0"/>
      </w:pPr>
      <w:r>
        <w:t>Subject lines containing words: URGENT, IMMEDIATE, WARNING, ACTION REQUIRED, SUSPENDED</w:t>
      </w:r>
    </w:p>
    <w:p w14:paraId="716E2A48" w14:textId="77777777" w:rsidR="009738F4" w:rsidRDefault="009738F4" w:rsidP="009738F4">
      <w:pPr>
        <w:pStyle w:val="ListParagraph"/>
        <w:numPr>
          <w:ilvl w:val="0"/>
          <w:numId w:val="1"/>
        </w:numPr>
        <w:spacing w:before="40" w:after="90" w:line="276" w:lineRule="auto"/>
        <w:contextualSpacing w:val="0"/>
      </w:pPr>
      <w:r>
        <w:t>Body text with countdown language: ‘within 24 hours’, ‘before midnight tonight’</w:t>
      </w:r>
    </w:p>
    <w:p w14:paraId="2A5902B2" w14:textId="77777777" w:rsidR="009738F4" w:rsidRDefault="009738F4" w:rsidP="009738F4">
      <w:pPr>
        <w:pStyle w:val="ListParagraph"/>
        <w:numPr>
          <w:ilvl w:val="0"/>
          <w:numId w:val="1"/>
        </w:numPr>
        <w:spacing w:before="40" w:after="90" w:line="276" w:lineRule="auto"/>
        <w:contextualSpacing w:val="0"/>
      </w:pPr>
      <w:r>
        <w:t>Threat of financial loss, account closure, legal action, or missed delivery</w:t>
      </w:r>
    </w:p>
    <w:p w14:paraId="0DF24810" w14:textId="77777777" w:rsidR="008A4A70" w:rsidRDefault="008A4A70" w:rsidP="008A4A70">
      <w:pPr>
        <w:pStyle w:val="ListParagraph"/>
        <w:numPr>
          <w:ilvl w:val="0"/>
          <w:numId w:val="1"/>
        </w:numPr>
        <w:spacing w:after="180" w:line="276" w:lineRule="auto"/>
        <w:jc w:val="both"/>
      </w:pPr>
      <w:r>
        <w:t>Inclusion rationale: Urgency language is consistently identified as the most effective phishing manipulation tactic. Including it trains users to pause when they feel pressured.</w:t>
      </w:r>
    </w:p>
    <w:p w14:paraId="0B5C4FFE" w14:textId="77777777" w:rsidR="00E07F7E" w:rsidRPr="005B43BB" w:rsidRDefault="00E07F7E" w:rsidP="00E07F7E">
      <w:pPr>
        <w:pStyle w:val="Heading2"/>
      </w:pPr>
      <w:r w:rsidRPr="005B43BB">
        <w:t>3.3</w:t>
      </w:r>
      <w:r>
        <w:t xml:space="preserve"> </w:t>
      </w:r>
      <w:r w:rsidRPr="005B43BB">
        <w:t>Suspicious URLs</w:t>
      </w:r>
    </w:p>
    <w:p w14:paraId="6F757CAA" w14:textId="77777777" w:rsidR="00E07F7E" w:rsidRDefault="00E07F7E" w:rsidP="00E07F7E">
      <w:pPr>
        <w:spacing w:after="180" w:line="276" w:lineRule="auto"/>
        <w:jc w:val="both"/>
      </w:pPr>
      <w:r>
        <w:t>Definition: Scammers register domain names that closely resemble legitimate ones, replacing letters with numbers or inserting hyphens to deceive users who do not read URLs carefully.</w:t>
      </w:r>
    </w:p>
    <w:p w14:paraId="093C8B35" w14:textId="77777777" w:rsidR="00E07F7E" w:rsidRDefault="00E07F7E" w:rsidP="00E07F7E">
      <w:pPr>
        <w:spacing w:after="180" w:line="276" w:lineRule="auto"/>
        <w:jc w:val="both"/>
      </w:pPr>
      <w:r>
        <w:t>Evidence: NCSC (2023) provides a dedicated section on URL manipulation, including examples such as ‘paypa1.com’, ‘roya1mail.com’, and ‘hmrc-gov.uk.com’. UK Finance (2024) reports that suspicious URLs are present in 78% of banking phishing emails analysed.</w:t>
      </w:r>
    </w:p>
    <w:p w14:paraId="72B5370F" w14:textId="77777777" w:rsidR="00E07F7E" w:rsidRDefault="00E07F7E" w:rsidP="00E07F7E">
      <w:pPr>
        <w:spacing w:after="180" w:line="276" w:lineRule="auto"/>
        <w:jc w:val="both"/>
      </w:pPr>
      <w:r>
        <w:t>Key indicators for game scenarios:</w:t>
      </w:r>
    </w:p>
    <w:p w14:paraId="2D0E2D3E" w14:textId="77777777" w:rsidR="00E07F7E" w:rsidRDefault="00E07F7E" w:rsidP="00E07F7E">
      <w:pPr>
        <w:pStyle w:val="ListParagraph"/>
        <w:numPr>
          <w:ilvl w:val="0"/>
          <w:numId w:val="3"/>
        </w:numPr>
        <w:spacing w:before="40" w:after="90" w:line="276" w:lineRule="auto"/>
        <w:contextualSpacing w:val="0"/>
      </w:pPr>
      <w:r>
        <w:t>Numbers substituted for similar-looking letters: 1 for l, 0 for o, 3 for e</w:t>
      </w:r>
    </w:p>
    <w:p w14:paraId="13EA617E" w14:textId="77777777" w:rsidR="00E07F7E" w:rsidRDefault="00E07F7E" w:rsidP="00E07F7E">
      <w:pPr>
        <w:pStyle w:val="ListParagraph"/>
        <w:numPr>
          <w:ilvl w:val="0"/>
          <w:numId w:val="3"/>
        </w:numPr>
        <w:spacing w:before="40" w:after="90" w:line="276" w:lineRule="auto"/>
        <w:contextualSpacing w:val="0"/>
      </w:pPr>
      <w:r>
        <w:t>Additional hyphens or words inserted: paypal-secure-login.com</w:t>
      </w:r>
    </w:p>
    <w:p w14:paraId="21AADA92" w14:textId="77777777" w:rsidR="00E07F7E" w:rsidRDefault="00E07F7E" w:rsidP="00E07F7E">
      <w:pPr>
        <w:pStyle w:val="ListParagraph"/>
        <w:numPr>
          <w:ilvl w:val="0"/>
          <w:numId w:val="3"/>
        </w:numPr>
        <w:spacing w:before="40" w:after="90" w:line="276" w:lineRule="auto"/>
        <w:contextualSpacing w:val="0"/>
      </w:pPr>
      <w:r>
        <w:t xml:space="preserve">Incorrect top-level domain: .com instead </w:t>
      </w:r>
      <w:proofErr w:type="gramStart"/>
      <w:r>
        <w:t>of .</w:t>
      </w:r>
      <w:proofErr w:type="gramEnd"/>
      <w:r>
        <w:t>gov.uk for government sites</w:t>
      </w:r>
    </w:p>
    <w:p w14:paraId="328FC491" w14:textId="77777777" w:rsidR="00E07F7E" w:rsidRDefault="00E07F7E" w:rsidP="00E07F7E">
      <w:pPr>
        <w:pStyle w:val="ListParagraph"/>
        <w:numPr>
          <w:ilvl w:val="0"/>
          <w:numId w:val="3"/>
        </w:numPr>
        <w:spacing w:before="40" w:after="90" w:line="276" w:lineRule="auto"/>
        <w:contextualSpacing w:val="0"/>
      </w:pPr>
      <w:r>
        <w:t>Excessively long URLs that obscure the true domain</w:t>
      </w:r>
    </w:p>
    <w:p w14:paraId="5074CAFD" w14:textId="77777777" w:rsidR="00E07F7E" w:rsidRDefault="00E07F7E" w:rsidP="00E07F7E">
      <w:pPr>
        <w:spacing w:after="60"/>
      </w:pPr>
    </w:p>
    <w:p w14:paraId="2B9C1D5C" w14:textId="77777777" w:rsidR="00E07F7E" w:rsidRDefault="00E07F7E" w:rsidP="00E07F7E">
      <w:pPr>
        <w:spacing w:after="180" w:line="276" w:lineRule="auto"/>
        <w:jc w:val="both"/>
      </w:pPr>
      <w:r>
        <w:t>Inclusion rationale: URL checking is a learnable skill. The game can teach users to slow down and read the full sender address and any embedded links.</w:t>
      </w:r>
    </w:p>
    <w:p w14:paraId="1F1F16E9" w14:textId="77777777" w:rsidR="00E07F7E" w:rsidRPr="005B43BB" w:rsidRDefault="00E07F7E" w:rsidP="00E07F7E">
      <w:pPr>
        <w:pStyle w:val="Heading2"/>
      </w:pPr>
      <w:r w:rsidRPr="005B43BB">
        <w:t>3.4 Credential Harvesting</w:t>
      </w:r>
    </w:p>
    <w:p w14:paraId="06BE9CE0" w14:textId="77777777" w:rsidR="00E07F7E" w:rsidRDefault="00E07F7E" w:rsidP="00E07F7E">
      <w:pPr>
        <w:spacing w:after="180" w:line="276" w:lineRule="auto"/>
        <w:jc w:val="both"/>
      </w:pPr>
      <w:r>
        <w:t>Definition: Phishing emails that request the recipient to click a link and enter passwords, banking PINs, National Insurance numbers, or other sensitive credentials on a fake login page.</w:t>
      </w:r>
    </w:p>
    <w:p w14:paraId="5994E1A4" w14:textId="77777777" w:rsidR="00E07F7E" w:rsidRDefault="00E07F7E" w:rsidP="00E07F7E">
      <w:pPr>
        <w:spacing w:after="180" w:line="276" w:lineRule="auto"/>
        <w:jc w:val="both"/>
      </w:pPr>
      <w:r>
        <w:t xml:space="preserve">Evidence: Action Fraud (2024) reports credential harvesting as the phishing category with the highest direct financial impact, accounting for the majority of ‘authorised push payment’ fraud </w:t>
      </w:r>
      <w:r>
        <w:lastRenderedPageBreak/>
        <w:t>losses. NCSC (2023) notes that no legitimate bank, government body, or online service will request a password by email.</w:t>
      </w:r>
    </w:p>
    <w:p w14:paraId="3FA1271F" w14:textId="77777777" w:rsidR="00E07F7E" w:rsidRDefault="00E07F7E" w:rsidP="00E07F7E">
      <w:pPr>
        <w:spacing w:after="180" w:line="276" w:lineRule="auto"/>
        <w:jc w:val="both"/>
      </w:pPr>
      <w:r>
        <w:t>Key indicators for game scenarios:</w:t>
      </w:r>
    </w:p>
    <w:p w14:paraId="2466A23C" w14:textId="77777777" w:rsidR="00E07F7E" w:rsidRDefault="00E07F7E" w:rsidP="00E07F7E">
      <w:pPr>
        <w:pStyle w:val="ListParagraph"/>
        <w:numPr>
          <w:ilvl w:val="0"/>
          <w:numId w:val="4"/>
        </w:numPr>
        <w:spacing w:before="40" w:after="90" w:line="276" w:lineRule="auto"/>
        <w:contextualSpacing w:val="0"/>
      </w:pPr>
      <w:r>
        <w:t>Request to ‘verify’, ‘confirm’, or ‘update’ login details via an email link</w:t>
      </w:r>
    </w:p>
    <w:p w14:paraId="106AA6B3" w14:textId="77777777" w:rsidR="00E07F7E" w:rsidRDefault="00E07F7E" w:rsidP="00E07F7E">
      <w:pPr>
        <w:pStyle w:val="ListParagraph"/>
        <w:numPr>
          <w:ilvl w:val="0"/>
          <w:numId w:val="4"/>
        </w:numPr>
        <w:spacing w:before="40" w:after="90" w:line="276" w:lineRule="auto"/>
        <w:contextualSpacing w:val="0"/>
      </w:pPr>
      <w:r>
        <w:t>Link goes to a page that visually mimics the genuine service</w:t>
      </w:r>
    </w:p>
    <w:p w14:paraId="6689DEC4" w14:textId="77777777" w:rsidR="00E07F7E" w:rsidRDefault="00E07F7E" w:rsidP="00E07F7E">
      <w:pPr>
        <w:pStyle w:val="ListParagraph"/>
        <w:numPr>
          <w:ilvl w:val="0"/>
          <w:numId w:val="4"/>
        </w:numPr>
        <w:spacing w:before="40" w:after="90" w:line="276" w:lineRule="auto"/>
        <w:contextualSpacing w:val="0"/>
      </w:pPr>
      <w:r>
        <w:t>Request for full card number, sort code, account number, or password</w:t>
      </w:r>
    </w:p>
    <w:p w14:paraId="5233F8D1" w14:textId="77777777" w:rsidR="00E07F7E" w:rsidRDefault="00E07F7E" w:rsidP="00E07F7E">
      <w:pPr>
        <w:spacing w:after="60"/>
      </w:pPr>
    </w:p>
    <w:p w14:paraId="2EDD4E2E" w14:textId="77777777" w:rsidR="00E07F7E" w:rsidRDefault="00E07F7E" w:rsidP="00E07F7E">
      <w:pPr>
        <w:spacing w:after="180" w:line="276" w:lineRule="auto"/>
        <w:jc w:val="both"/>
      </w:pPr>
      <w:r>
        <w:t>Inclusion rationale: Teaching users the rule ‘no legitimate organisation asks for your password by email’ is a high-impact, easily retained safety principle.</w:t>
      </w:r>
    </w:p>
    <w:p w14:paraId="7B0D15E5" w14:textId="77777777" w:rsidR="00E07F7E" w:rsidRPr="005B43BB" w:rsidRDefault="00E07F7E" w:rsidP="00E07F7E">
      <w:pPr>
        <w:pStyle w:val="Heading2"/>
      </w:pPr>
      <w:r w:rsidRPr="005B43BB">
        <w:t>3.5 Generic and Impersonal Greetings</w:t>
      </w:r>
    </w:p>
    <w:p w14:paraId="400DF491" w14:textId="77777777" w:rsidR="00E07F7E" w:rsidRDefault="00E07F7E" w:rsidP="00E07F7E">
      <w:pPr>
        <w:spacing w:after="180" w:line="276" w:lineRule="auto"/>
        <w:jc w:val="both"/>
      </w:pPr>
      <w:r>
        <w:t>Definition: Mass phishing emails cannot personalise greetings to individual recipients and therefore use generic openers such as ‘Dear Customer’, ‘Dear Account Holder’, or simply no greeting.</w:t>
      </w:r>
    </w:p>
    <w:p w14:paraId="6994FB1E" w14:textId="726C3A9C" w:rsidR="00553E75" w:rsidRDefault="00E07F7E" w:rsidP="00E07F7E">
      <w:r>
        <w:t>Evidence: Get Safe Online (2024) lists generic greetings as one of the top five spotting tips, noting that genuine organisations typically use your full name or account reference. NCSC (2023)</w:t>
      </w:r>
    </w:p>
    <w:p w14:paraId="06A96CBD" w14:textId="77777777" w:rsidR="00A52362" w:rsidRDefault="00A52362" w:rsidP="00A52362">
      <w:pPr>
        <w:spacing w:after="180" w:line="276" w:lineRule="auto"/>
        <w:jc w:val="both"/>
      </w:pPr>
      <w:r>
        <w:t xml:space="preserve">confirms that personalisation is increasingly used in spear-phishing but that </w:t>
      </w:r>
      <w:proofErr w:type="gramStart"/>
      <w:r>
        <w:t>the majority of</w:t>
      </w:r>
      <w:proofErr w:type="gramEnd"/>
      <w:r>
        <w:t xml:space="preserve"> volume phishing remains generic.</w:t>
      </w:r>
    </w:p>
    <w:p w14:paraId="2CBD3ADF" w14:textId="77777777" w:rsidR="00A52362" w:rsidRDefault="00A52362" w:rsidP="00A52362">
      <w:pPr>
        <w:spacing w:after="180" w:line="276" w:lineRule="auto"/>
        <w:jc w:val="both"/>
      </w:pPr>
      <w:r>
        <w:t>Key indicators for game scenarios:</w:t>
      </w:r>
    </w:p>
    <w:p w14:paraId="728836EE" w14:textId="77777777" w:rsidR="00A52362" w:rsidRDefault="00A52362" w:rsidP="00A52362">
      <w:pPr>
        <w:pStyle w:val="ListParagraph"/>
        <w:numPr>
          <w:ilvl w:val="0"/>
          <w:numId w:val="3"/>
        </w:numPr>
        <w:spacing w:before="40" w:after="90" w:line="276" w:lineRule="auto"/>
        <w:contextualSpacing w:val="0"/>
      </w:pPr>
      <w:r>
        <w:t>Greeting: ‘Dear Customer’, ‘Dear User’, ‘Dear Account Holder’</w:t>
      </w:r>
    </w:p>
    <w:p w14:paraId="6EB031F5" w14:textId="77777777" w:rsidR="00A52362" w:rsidRDefault="00A52362" w:rsidP="00A52362">
      <w:pPr>
        <w:pStyle w:val="ListParagraph"/>
        <w:numPr>
          <w:ilvl w:val="0"/>
          <w:numId w:val="3"/>
        </w:numPr>
        <w:spacing w:before="40" w:after="90" w:line="276" w:lineRule="auto"/>
        <w:contextualSpacing w:val="0"/>
      </w:pPr>
      <w:r>
        <w:t>No greeting at all — message begins directly with the request</w:t>
      </w:r>
    </w:p>
    <w:p w14:paraId="78797A9D" w14:textId="77777777" w:rsidR="00A52362" w:rsidRDefault="00A52362" w:rsidP="00A52362">
      <w:pPr>
        <w:pStyle w:val="ListParagraph"/>
        <w:numPr>
          <w:ilvl w:val="0"/>
          <w:numId w:val="3"/>
        </w:numPr>
        <w:spacing w:before="40" w:after="90" w:line="276" w:lineRule="auto"/>
        <w:contextualSpacing w:val="0"/>
      </w:pPr>
      <w:r>
        <w:t>Contrast: genuine emails from banks and HMRC typically include name and partial account reference</w:t>
      </w:r>
    </w:p>
    <w:p w14:paraId="6761C78D" w14:textId="77777777" w:rsidR="00A52362" w:rsidRDefault="00A52362" w:rsidP="00A52362">
      <w:pPr>
        <w:spacing w:after="60"/>
      </w:pPr>
    </w:p>
    <w:p w14:paraId="2D31696E" w14:textId="77777777" w:rsidR="00A52362" w:rsidRDefault="00A52362" w:rsidP="00A52362">
      <w:pPr>
        <w:spacing w:after="180" w:line="276" w:lineRule="auto"/>
        <w:jc w:val="both"/>
      </w:pPr>
      <w:r>
        <w:t>Inclusion rationale: A simple, memorable indicator that reinforces user habit: ‘If it doesn’t use my name, be suspicious.’</w:t>
      </w:r>
    </w:p>
    <w:p w14:paraId="5BA66871" w14:textId="77777777" w:rsidR="00A52362" w:rsidRPr="005B43BB" w:rsidRDefault="00A52362" w:rsidP="00A52362">
      <w:pPr>
        <w:pStyle w:val="Heading1"/>
      </w:pPr>
      <w:r w:rsidRPr="005B43BB">
        <w:t>4. Summary: Safe Email Indicators</w:t>
      </w:r>
    </w:p>
    <w:p w14:paraId="1A019BD5" w14:textId="77777777" w:rsidR="00A52362" w:rsidRDefault="00A52362" w:rsidP="00A52362">
      <w:pPr>
        <w:spacing w:after="180" w:line="276" w:lineRule="auto"/>
        <w:jc w:val="both"/>
      </w:pPr>
      <w:r>
        <w:t>To ensure the game also includes genuine (Safe) email scenarios that are realistic and educational, I researched the positive indicators of legitimate emails: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A52362" w14:paraId="0ED8EDA9" w14:textId="77777777" w:rsidTr="00E17999">
        <w:tblPrEx>
          <w:tblCellMar>
            <w:top w:w="0" w:type="dxa"/>
            <w:bottom w:w="0" w:type="dxa"/>
          </w:tblCellMar>
        </w:tblPrEx>
        <w:tc>
          <w:tcPr>
            <w:tcW w:w="3200" w:type="dxa"/>
            <w:tcBorders>
              <w:top w:val="single" w:sz="4" w:space="0" w:color="00695C"/>
              <w:left w:val="single" w:sz="4" w:space="0" w:color="00695C"/>
              <w:bottom w:val="single" w:sz="4" w:space="0" w:color="00695C"/>
              <w:right w:val="single" w:sz="4" w:space="0" w:color="00695C"/>
            </w:tcBorders>
            <w:tcMar>
              <w:top w:w="120" w:type="dxa"/>
              <w:left w:w="160" w:type="dxa"/>
              <w:bottom w:w="120" w:type="dxa"/>
              <w:right w:w="160" w:type="dxa"/>
            </w:tcMar>
            <w:vAlign w:val="center"/>
          </w:tcPr>
          <w:p w14:paraId="4AC3F99E" w14:textId="77777777" w:rsidR="00A52362" w:rsidRPr="009939CB" w:rsidRDefault="00A52362" w:rsidP="00E17999">
            <w:pPr>
              <w:rPr>
                <w:color w:val="auto"/>
              </w:rPr>
            </w:pPr>
            <w:r w:rsidRPr="009939CB">
              <w:rPr>
                <w:b/>
                <w:bCs/>
                <w:color w:val="auto"/>
                <w:sz w:val="21"/>
                <w:szCs w:val="21"/>
              </w:rPr>
              <w:t>Safe Indicator</w:t>
            </w:r>
          </w:p>
        </w:tc>
        <w:tc>
          <w:tcPr>
            <w:tcW w:w="5826" w:type="dxa"/>
            <w:tcBorders>
              <w:top w:val="single" w:sz="4" w:space="0" w:color="00695C"/>
              <w:left w:val="single" w:sz="4" w:space="0" w:color="00695C"/>
              <w:bottom w:val="single" w:sz="4" w:space="0" w:color="00695C"/>
              <w:right w:val="single" w:sz="4" w:space="0" w:color="00695C"/>
            </w:tcBorders>
            <w:tcMar>
              <w:top w:w="120" w:type="dxa"/>
              <w:left w:w="160" w:type="dxa"/>
              <w:bottom w:w="120" w:type="dxa"/>
              <w:right w:w="160" w:type="dxa"/>
            </w:tcMar>
            <w:vAlign w:val="center"/>
          </w:tcPr>
          <w:p w14:paraId="5B4C07ED" w14:textId="77777777" w:rsidR="00A52362" w:rsidRPr="009939CB" w:rsidRDefault="00A52362" w:rsidP="00E17999">
            <w:pPr>
              <w:rPr>
                <w:color w:val="auto"/>
              </w:rPr>
            </w:pPr>
            <w:r w:rsidRPr="009939CB">
              <w:rPr>
                <w:b/>
                <w:bCs/>
                <w:color w:val="auto"/>
                <w:sz w:val="21"/>
                <w:szCs w:val="21"/>
              </w:rPr>
              <w:t>What It Looks Like</w:t>
            </w:r>
          </w:p>
        </w:tc>
      </w:tr>
      <w:tr w:rsidR="00A52362" w14:paraId="23FD0510" w14:textId="77777777" w:rsidTr="00E17999">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tcMar>
              <w:top w:w="110" w:type="dxa"/>
              <w:left w:w="160" w:type="dxa"/>
              <w:bottom w:w="110" w:type="dxa"/>
              <w:right w:w="160" w:type="dxa"/>
            </w:tcMar>
          </w:tcPr>
          <w:p w14:paraId="332228B7" w14:textId="77777777" w:rsidR="00A52362" w:rsidRDefault="00A52362" w:rsidP="00E17999">
            <w:r>
              <w:rPr>
                <w:b/>
                <w:bCs/>
                <w:color w:val="00695C"/>
                <w:sz w:val="21"/>
                <w:szCs w:val="21"/>
              </w:rPr>
              <w:t>Correct official domain</w:t>
            </w:r>
          </w:p>
        </w:tc>
        <w:tc>
          <w:tcPr>
            <w:tcW w:w="5826" w:type="dxa"/>
            <w:tcBorders>
              <w:top w:val="single" w:sz="4" w:space="0" w:color="CCCCCC"/>
              <w:left w:val="single" w:sz="4" w:space="0" w:color="CCCCCC"/>
              <w:bottom w:val="single" w:sz="4" w:space="0" w:color="CCCCCC"/>
              <w:right w:val="single" w:sz="4" w:space="0" w:color="CCCCCC"/>
            </w:tcBorders>
            <w:tcMar>
              <w:top w:w="110" w:type="dxa"/>
              <w:left w:w="160" w:type="dxa"/>
              <w:bottom w:w="110" w:type="dxa"/>
              <w:right w:w="160" w:type="dxa"/>
            </w:tcMar>
          </w:tcPr>
          <w:p w14:paraId="4080B06C" w14:textId="77777777" w:rsidR="00A52362" w:rsidRDefault="00A52362" w:rsidP="00E17999">
            <w:r>
              <w:rPr>
                <w:sz w:val="21"/>
                <w:szCs w:val="21"/>
              </w:rPr>
              <w:t>NHS emails use @nhs.net; Royal Mail uses @royalmail.com; HMRC uses @hmrc.gov.uk</w:t>
            </w:r>
          </w:p>
        </w:tc>
      </w:tr>
      <w:tr w:rsidR="00A52362" w14:paraId="6B101169" w14:textId="77777777" w:rsidTr="00E17999">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tcMar>
              <w:top w:w="110" w:type="dxa"/>
              <w:left w:w="160" w:type="dxa"/>
              <w:bottom w:w="110" w:type="dxa"/>
              <w:right w:w="160" w:type="dxa"/>
            </w:tcMar>
          </w:tcPr>
          <w:p w14:paraId="3CB80AE2" w14:textId="77777777" w:rsidR="00A52362" w:rsidRDefault="00A52362" w:rsidP="00E17999">
            <w:r>
              <w:rPr>
                <w:b/>
                <w:bCs/>
                <w:color w:val="00695C"/>
                <w:sz w:val="21"/>
                <w:szCs w:val="21"/>
              </w:rPr>
              <w:t>Personalised greeting</w:t>
            </w:r>
          </w:p>
        </w:tc>
        <w:tc>
          <w:tcPr>
            <w:tcW w:w="5826" w:type="dxa"/>
            <w:tcBorders>
              <w:top w:val="single" w:sz="4" w:space="0" w:color="CCCCCC"/>
              <w:left w:val="single" w:sz="4" w:space="0" w:color="CCCCCC"/>
              <w:bottom w:val="single" w:sz="4" w:space="0" w:color="CCCCCC"/>
              <w:right w:val="single" w:sz="4" w:space="0" w:color="CCCCCC"/>
            </w:tcBorders>
            <w:tcMar>
              <w:top w:w="110" w:type="dxa"/>
              <w:left w:w="160" w:type="dxa"/>
              <w:bottom w:w="110" w:type="dxa"/>
              <w:right w:w="160" w:type="dxa"/>
            </w:tcMar>
          </w:tcPr>
          <w:p w14:paraId="7B86524B" w14:textId="77777777" w:rsidR="00A52362" w:rsidRDefault="00A52362" w:rsidP="00E17999">
            <w:r>
              <w:rPr>
                <w:sz w:val="21"/>
                <w:szCs w:val="21"/>
              </w:rPr>
              <w:t>Uses the recipient’s full name or account reference number</w:t>
            </w:r>
          </w:p>
        </w:tc>
      </w:tr>
      <w:tr w:rsidR="00A52362" w14:paraId="31C0C3B0" w14:textId="77777777" w:rsidTr="00E17999">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tcMar>
              <w:top w:w="110" w:type="dxa"/>
              <w:left w:w="160" w:type="dxa"/>
              <w:bottom w:w="110" w:type="dxa"/>
              <w:right w:w="160" w:type="dxa"/>
            </w:tcMar>
          </w:tcPr>
          <w:p w14:paraId="6278E73F" w14:textId="77777777" w:rsidR="00A52362" w:rsidRDefault="00A52362" w:rsidP="00E17999">
            <w:r>
              <w:rPr>
                <w:b/>
                <w:bCs/>
                <w:color w:val="00695C"/>
                <w:sz w:val="21"/>
                <w:szCs w:val="21"/>
              </w:rPr>
              <w:t>No request for sensitive data</w:t>
            </w:r>
          </w:p>
        </w:tc>
        <w:tc>
          <w:tcPr>
            <w:tcW w:w="5826" w:type="dxa"/>
            <w:tcBorders>
              <w:top w:val="single" w:sz="4" w:space="0" w:color="CCCCCC"/>
              <w:left w:val="single" w:sz="4" w:space="0" w:color="CCCCCC"/>
              <w:bottom w:val="single" w:sz="4" w:space="0" w:color="CCCCCC"/>
              <w:right w:val="single" w:sz="4" w:space="0" w:color="CCCCCC"/>
            </w:tcBorders>
            <w:tcMar>
              <w:top w:w="110" w:type="dxa"/>
              <w:left w:w="160" w:type="dxa"/>
              <w:bottom w:w="110" w:type="dxa"/>
              <w:right w:w="160" w:type="dxa"/>
            </w:tcMar>
          </w:tcPr>
          <w:p w14:paraId="534C50B3" w14:textId="77777777" w:rsidR="00A52362" w:rsidRDefault="00A52362" w:rsidP="00E17999">
            <w:r>
              <w:rPr>
                <w:sz w:val="21"/>
                <w:szCs w:val="21"/>
              </w:rPr>
              <w:t>Does not ask for passwords, PINs, or full card details</w:t>
            </w:r>
          </w:p>
        </w:tc>
      </w:tr>
      <w:tr w:rsidR="00A52362" w14:paraId="2198DE64" w14:textId="77777777" w:rsidTr="00E17999">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tcMar>
              <w:top w:w="110" w:type="dxa"/>
              <w:left w:w="160" w:type="dxa"/>
              <w:bottom w:w="110" w:type="dxa"/>
              <w:right w:w="160" w:type="dxa"/>
            </w:tcMar>
          </w:tcPr>
          <w:p w14:paraId="4B1FF68D" w14:textId="77777777" w:rsidR="00A52362" w:rsidRDefault="00A52362" w:rsidP="00E17999">
            <w:r>
              <w:rPr>
                <w:b/>
                <w:bCs/>
                <w:color w:val="00695C"/>
                <w:sz w:val="21"/>
                <w:szCs w:val="21"/>
              </w:rPr>
              <w:t>Appropriate tone</w:t>
            </w:r>
          </w:p>
        </w:tc>
        <w:tc>
          <w:tcPr>
            <w:tcW w:w="5826" w:type="dxa"/>
            <w:tcBorders>
              <w:top w:val="single" w:sz="4" w:space="0" w:color="CCCCCC"/>
              <w:left w:val="single" w:sz="4" w:space="0" w:color="CCCCCC"/>
              <w:bottom w:val="single" w:sz="4" w:space="0" w:color="CCCCCC"/>
              <w:right w:val="single" w:sz="4" w:space="0" w:color="CCCCCC"/>
            </w:tcBorders>
            <w:tcMar>
              <w:top w:w="110" w:type="dxa"/>
              <w:left w:w="160" w:type="dxa"/>
              <w:bottom w:w="110" w:type="dxa"/>
              <w:right w:w="160" w:type="dxa"/>
            </w:tcMar>
          </w:tcPr>
          <w:p w14:paraId="2442613B" w14:textId="77777777" w:rsidR="00A52362" w:rsidRDefault="00A52362" w:rsidP="00E17999">
            <w:r>
              <w:rPr>
                <w:sz w:val="21"/>
                <w:szCs w:val="21"/>
              </w:rPr>
              <w:t>Professional but not threatening; no urgency pressure</w:t>
            </w:r>
          </w:p>
        </w:tc>
      </w:tr>
      <w:tr w:rsidR="00A52362" w14:paraId="68D027FB" w14:textId="77777777" w:rsidTr="00E17999">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tcMar>
              <w:top w:w="110" w:type="dxa"/>
              <w:left w:w="160" w:type="dxa"/>
              <w:bottom w:w="110" w:type="dxa"/>
              <w:right w:w="160" w:type="dxa"/>
            </w:tcMar>
          </w:tcPr>
          <w:p w14:paraId="00986086" w14:textId="77777777" w:rsidR="00A52362" w:rsidRDefault="00A52362" w:rsidP="00E17999">
            <w:r>
              <w:rPr>
                <w:b/>
                <w:bCs/>
                <w:color w:val="00695C"/>
                <w:sz w:val="21"/>
                <w:szCs w:val="21"/>
              </w:rPr>
              <w:lastRenderedPageBreak/>
              <w:t>Verifiable link</w:t>
            </w:r>
          </w:p>
        </w:tc>
        <w:tc>
          <w:tcPr>
            <w:tcW w:w="5826" w:type="dxa"/>
            <w:tcBorders>
              <w:top w:val="single" w:sz="4" w:space="0" w:color="CCCCCC"/>
              <w:left w:val="single" w:sz="4" w:space="0" w:color="CCCCCC"/>
              <w:bottom w:val="single" w:sz="4" w:space="0" w:color="CCCCCC"/>
              <w:right w:val="single" w:sz="4" w:space="0" w:color="CCCCCC"/>
            </w:tcBorders>
            <w:tcMar>
              <w:top w:w="110" w:type="dxa"/>
              <w:left w:w="160" w:type="dxa"/>
              <w:bottom w:w="110" w:type="dxa"/>
              <w:right w:w="160" w:type="dxa"/>
            </w:tcMar>
          </w:tcPr>
          <w:p w14:paraId="70BB9F03" w14:textId="77777777" w:rsidR="00A52362" w:rsidRDefault="00A52362" w:rsidP="00E17999">
            <w:r>
              <w:rPr>
                <w:sz w:val="21"/>
                <w:szCs w:val="21"/>
              </w:rPr>
              <w:t>URL matches the genuine brand domain; no hyphens, number substitutions, or unusual TLDs</w:t>
            </w:r>
          </w:p>
        </w:tc>
      </w:tr>
    </w:tbl>
    <w:p w14:paraId="149AB129" w14:textId="77777777" w:rsidR="00A52362" w:rsidRDefault="00A52362" w:rsidP="00A52362">
      <w:pPr>
        <w:spacing w:after="100"/>
      </w:pPr>
    </w:p>
    <w:p w14:paraId="0D8B37BB" w14:textId="77777777" w:rsidR="00A52362" w:rsidRPr="005B43BB" w:rsidRDefault="00A52362" w:rsidP="00A52362">
      <w:pPr>
        <w:pStyle w:val="Heading1"/>
      </w:pPr>
      <w:r w:rsidRPr="005B43BB">
        <w:t>5. Audience Justification: Why Older Adults?</w:t>
      </w:r>
    </w:p>
    <w:p w14:paraId="30E5BF80" w14:textId="77777777" w:rsidR="00A52362" w:rsidRDefault="00A52362" w:rsidP="00A52362">
      <w:pPr>
        <w:spacing w:after="180" w:line="276" w:lineRule="auto"/>
        <w:jc w:val="both"/>
      </w:pPr>
      <w:r>
        <w:t>Ofcom (2023) reports that adults aged 55–64 and 65+ have the lowest rates of digital confidence, and the highest rates of reported online fraud victimisation. Action Fraud (2024) confirms that adults over 55 account for a disproportionate 63% of phishing-related financial losses reported in 2023–24, despite comprising approximately 33% of the online population.</w:t>
      </w:r>
    </w:p>
    <w:p w14:paraId="78F05EAC" w14:textId="77777777" w:rsidR="00A52362" w:rsidRDefault="00A52362" w:rsidP="00A52362">
      <w:pPr>
        <w:spacing w:after="180" w:line="276" w:lineRule="auto"/>
        <w:jc w:val="both"/>
      </w:pPr>
      <w:r>
        <w:t xml:space="preserve">These figures confirm that targeting older adults is both socially important and aligned with the client brief’s requirement to address a ‘growing need’ among ‘vulnerable users.’ The phishing categories identified above were selected because they are the </w:t>
      </w:r>
      <w:proofErr w:type="gramStart"/>
      <w:r>
        <w:t>most commonly reported</w:t>
      </w:r>
      <w:proofErr w:type="gramEnd"/>
      <w:r>
        <w:t xml:space="preserve"> by this demographic, not because older adults are less capable, but because the volume of targeted attacks directed at them is demonstrably higher.</w:t>
      </w:r>
    </w:p>
    <w:p w14:paraId="5E82C39B" w14:textId="77777777" w:rsidR="008271E0" w:rsidRPr="005B43BB" w:rsidRDefault="008271E0" w:rsidP="008271E0">
      <w:pPr>
        <w:pStyle w:val="Heading1"/>
        <w:tabs>
          <w:tab w:val="left" w:pos="6252"/>
        </w:tabs>
      </w:pPr>
      <w:r w:rsidRPr="005B43BB">
        <w:t>6. Research Ethics Statement</w:t>
      </w:r>
      <w:r>
        <w:tab/>
      </w:r>
    </w:p>
    <w:p w14:paraId="5996FC74" w14:textId="77777777" w:rsidR="008271E0" w:rsidRDefault="008271E0" w:rsidP="008271E0">
      <w:pPr>
        <w:spacing w:after="180" w:line="276" w:lineRule="auto"/>
        <w:jc w:val="both"/>
      </w:pPr>
      <w:r>
        <w:t>All research was conducted using publicly available, freely accessible sources. No data was collected from individuals. No sensitive or confidential information was input into AI tools during the research process. All sources are cited using APA 7th edition in Section 7 below.</w:t>
      </w:r>
    </w:p>
    <w:p w14:paraId="105FE49B" w14:textId="77777777" w:rsidR="008271E0" w:rsidRDefault="008271E0" w:rsidP="008271E0">
      <w:pPr>
        <w:spacing w:after="180" w:line="276" w:lineRule="auto"/>
        <w:jc w:val="both"/>
      </w:pPr>
      <w:r>
        <w:t>AI assistance: I used ChatGPT to generate an initial summary of phishing categories before reading primary sources. Every claim in this document has been verified against the primary sources cited. The AI summary was not cited or reproduced anywhere in this document.</w:t>
      </w:r>
    </w:p>
    <w:p w14:paraId="577CE677" w14:textId="77777777" w:rsidR="008271E0" w:rsidRDefault="008271E0" w:rsidP="008271E0">
      <w:pPr>
        <w:spacing w:after="180" w:line="276" w:lineRule="auto"/>
        <w:jc w:val="both"/>
      </w:pPr>
    </w:p>
    <w:p w14:paraId="05E23822" w14:textId="77777777" w:rsidR="008271E0" w:rsidRDefault="008271E0" w:rsidP="008271E0">
      <w:pPr>
        <w:spacing w:after="180" w:line="276" w:lineRule="auto"/>
        <w:jc w:val="both"/>
      </w:pPr>
    </w:p>
    <w:p w14:paraId="017E6DE1" w14:textId="77777777" w:rsidR="008271E0" w:rsidRDefault="008271E0" w:rsidP="008271E0">
      <w:pPr>
        <w:spacing w:after="180" w:line="276" w:lineRule="auto"/>
        <w:jc w:val="both"/>
      </w:pPr>
    </w:p>
    <w:p w14:paraId="320CA0A0" w14:textId="77777777" w:rsidR="008271E0" w:rsidRDefault="008271E0" w:rsidP="008271E0">
      <w:pPr>
        <w:spacing w:after="180" w:line="276" w:lineRule="auto"/>
        <w:jc w:val="both"/>
      </w:pPr>
    </w:p>
    <w:p w14:paraId="6930E777" w14:textId="77777777" w:rsidR="008271E0" w:rsidRDefault="008271E0" w:rsidP="008271E0">
      <w:pPr>
        <w:spacing w:after="180" w:line="276" w:lineRule="auto"/>
        <w:jc w:val="both"/>
      </w:pPr>
    </w:p>
    <w:p w14:paraId="127DA3E8" w14:textId="77777777" w:rsidR="008271E0" w:rsidRDefault="008271E0" w:rsidP="008271E0">
      <w:pPr>
        <w:spacing w:after="180" w:line="276" w:lineRule="auto"/>
        <w:jc w:val="both"/>
      </w:pPr>
    </w:p>
    <w:p w14:paraId="6B362CD3" w14:textId="77777777" w:rsidR="008271E0" w:rsidRDefault="008271E0" w:rsidP="008271E0">
      <w:pPr>
        <w:spacing w:after="180" w:line="276" w:lineRule="auto"/>
        <w:jc w:val="both"/>
      </w:pPr>
    </w:p>
    <w:p w14:paraId="196E5A39" w14:textId="77777777" w:rsidR="008271E0" w:rsidRDefault="008271E0" w:rsidP="008271E0">
      <w:pPr>
        <w:spacing w:after="180" w:line="276" w:lineRule="auto"/>
        <w:jc w:val="both"/>
      </w:pPr>
    </w:p>
    <w:p w14:paraId="3088DC10" w14:textId="77777777" w:rsidR="008271E0" w:rsidRDefault="008271E0" w:rsidP="008271E0">
      <w:pPr>
        <w:spacing w:after="180" w:line="276" w:lineRule="auto"/>
        <w:jc w:val="both"/>
      </w:pPr>
    </w:p>
    <w:p w14:paraId="7DAB0EAC" w14:textId="77777777" w:rsidR="008271E0" w:rsidRDefault="008271E0" w:rsidP="008271E0">
      <w:pPr>
        <w:spacing w:after="180" w:line="276" w:lineRule="auto"/>
        <w:jc w:val="both"/>
      </w:pPr>
    </w:p>
    <w:p w14:paraId="1F118B73" w14:textId="77777777" w:rsidR="008271E0" w:rsidRDefault="008271E0" w:rsidP="008271E0">
      <w:pPr>
        <w:spacing w:after="180" w:line="276" w:lineRule="auto"/>
        <w:jc w:val="both"/>
      </w:pPr>
    </w:p>
    <w:p w14:paraId="769B8557" w14:textId="77777777" w:rsidR="008271E0" w:rsidRDefault="008271E0" w:rsidP="008271E0">
      <w:pPr>
        <w:spacing w:after="180" w:line="276" w:lineRule="auto"/>
        <w:jc w:val="both"/>
      </w:pPr>
    </w:p>
    <w:p w14:paraId="49D1C874" w14:textId="77777777" w:rsidR="008271E0" w:rsidRPr="005B43BB" w:rsidRDefault="008271E0" w:rsidP="008271E0">
      <w:pPr>
        <w:pStyle w:val="Heading1"/>
      </w:pPr>
      <w:r w:rsidRPr="005B43BB">
        <w:lastRenderedPageBreak/>
        <w:t>7. References (APA 7th Edition)</w:t>
      </w:r>
    </w:p>
    <w:p w14:paraId="1003E22F" w14:textId="77777777" w:rsidR="008271E0" w:rsidRDefault="008271E0" w:rsidP="008271E0">
      <w:pPr>
        <w:spacing w:after="180" w:line="276" w:lineRule="auto"/>
        <w:jc w:val="both"/>
      </w:pPr>
      <w:r>
        <w:t xml:space="preserve">Action Fraud. (2024). Annual fraud and cybercrime report 2024. City of London Police. </w:t>
      </w:r>
      <w:hyperlink r:id="rId5" w:history="1">
        <w:r w:rsidRPr="00DD78F8">
          <w:rPr>
            <w:rStyle w:val="Hyperlink"/>
          </w:rPr>
          <w:t>https://www.actionfraud.police.uk</w:t>
        </w:r>
      </w:hyperlink>
    </w:p>
    <w:p w14:paraId="0008E8F7" w14:textId="77777777" w:rsidR="008271E0" w:rsidRDefault="008271E0" w:rsidP="008271E0">
      <w:pPr>
        <w:spacing w:after="180" w:line="276" w:lineRule="auto"/>
        <w:jc w:val="both"/>
      </w:pPr>
    </w:p>
    <w:p w14:paraId="70DDEE92" w14:textId="77777777" w:rsidR="008271E0" w:rsidRDefault="008271E0" w:rsidP="008271E0">
      <w:pPr>
        <w:spacing w:after="180" w:line="276" w:lineRule="auto"/>
        <w:jc w:val="both"/>
      </w:pPr>
      <w:r>
        <w:t xml:space="preserve">Get Safe Online. (2024). How to spot a phishing email. </w:t>
      </w:r>
      <w:hyperlink r:id="rId6" w:history="1">
        <w:r w:rsidRPr="00DD78F8">
          <w:rPr>
            <w:rStyle w:val="Hyperlink"/>
          </w:rPr>
          <w:t>https://www.getsafeonline.org/protecting-yourself/phishing</w:t>
        </w:r>
      </w:hyperlink>
    </w:p>
    <w:p w14:paraId="0D1642A4" w14:textId="77777777" w:rsidR="008271E0" w:rsidRDefault="008271E0" w:rsidP="008271E0">
      <w:pPr>
        <w:spacing w:after="180" w:line="276" w:lineRule="auto"/>
        <w:jc w:val="both"/>
      </w:pPr>
    </w:p>
    <w:p w14:paraId="2A07488C" w14:textId="77777777" w:rsidR="008271E0" w:rsidRDefault="008271E0" w:rsidP="008271E0">
      <w:pPr>
        <w:spacing w:after="180" w:line="276" w:lineRule="auto"/>
        <w:jc w:val="both"/>
      </w:pPr>
      <w:r>
        <w:t xml:space="preserve">National Cyber Security Centre. (2023). Phishing attacks: Defending your organisation. NCSC. </w:t>
      </w:r>
      <w:hyperlink r:id="rId7" w:history="1">
        <w:r w:rsidRPr="00DD78F8">
          <w:rPr>
            <w:rStyle w:val="Hyperlink"/>
          </w:rPr>
          <w:t>https://www.ncsc.gov.uk/guidance/phishing</w:t>
        </w:r>
      </w:hyperlink>
    </w:p>
    <w:p w14:paraId="7476FAD3" w14:textId="77777777" w:rsidR="008271E0" w:rsidRDefault="008271E0" w:rsidP="008271E0">
      <w:pPr>
        <w:spacing w:after="180" w:line="276" w:lineRule="auto"/>
        <w:jc w:val="both"/>
      </w:pPr>
    </w:p>
    <w:p w14:paraId="138153EF" w14:textId="77777777" w:rsidR="008271E0" w:rsidRDefault="008271E0" w:rsidP="008271E0">
      <w:pPr>
        <w:spacing w:after="180" w:line="276" w:lineRule="auto"/>
        <w:jc w:val="both"/>
      </w:pPr>
      <w:r>
        <w:t xml:space="preserve">Ofcom. (2023). Adults’ media use and attitudes report 2023. </w:t>
      </w:r>
      <w:hyperlink r:id="rId8" w:history="1">
        <w:r w:rsidRPr="00DD78F8">
          <w:rPr>
            <w:rStyle w:val="Hyperlink"/>
          </w:rPr>
          <w:t>https://www.ofcom.org.uk/research-and-data/telecoms-research/adults-media-use-and-attitudes</w:t>
        </w:r>
      </w:hyperlink>
    </w:p>
    <w:p w14:paraId="637DC539" w14:textId="77777777" w:rsidR="008271E0" w:rsidRDefault="008271E0" w:rsidP="008271E0">
      <w:pPr>
        <w:spacing w:after="180" w:line="276" w:lineRule="auto"/>
        <w:jc w:val="both"/>
      </w:pPr>
    </w:p>
    <w:p w14:paraId="6B040DE5" w14:textId="77777777" w:rsidR="008271E0" w:rsidRDefault="008271E0" w:rsidP="008271E0">
      <w:pPr>
        <w:spacing w:after="180" w:line="276" w:lineRule="auto"/>
        <w:jc w:val="both"/>
      </w:pPr>
      <w:r>
        <w:t xml:space="preserve">UK Finance. (2024). Annual fraud report 2024. </w:t>
      </w:r>
      <w:hyperlink r:id="rId9" w:history="1">
        <w:r w:rsidRPr="00DD78F8">
          <w:rPr>
            <w:rStyle w:val="Hyperlink"/>
          </w:rPr>
          <w:t>https://www.ukfinance.org.uk/policy-and-guidance/reports-publications/annual-fraud-report-2024</w:t>
        </w:r>
      </w:hyperlink>
    </w:p>
    <w:p w14:paraId="27E4915D" w14:textId="77777777" w:rsidR="00A52362" w:rsidRPr="005241BA" w:rsidRDefault="00A52362" w:rsidP="00E07F7E">
      <w:pPr>
        <w:rPr>
          <w:b/>
          <w:bCs/>
        </w:rPr>
      </w:pPr>
    </w:p>
    <w:sectPr w:rsidR="00A52362" w:rsidRPr="005241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B41004"/>
    <w:multiLevelType w:val="hybridMultilevel"/>
    <w:tmpl w:val="5D90D7A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9734D7F"/>
    <w:multiLevelType w:val="hybridMultilevel"/>
    <w:tmpl w:val="2C424F32"/>
    <w:lvl w:ilvl="0" w:tplc="0809000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62297793"/>
    <w:multiLevelType w:val="hybridMultilevel"/>
    <w:tmpl w:val="23D29B56"/>
    <w:lvl w:ilvl="0" w:tplc="C8E217C2">
      <w:start w:val="1"/>
      <w:numFmt w:val="bullet"/>
      <w:lvlText w:val="•"/>
      <w:lvlJc w:val="left"/>
      <w:pPr>
        <w:ind w:left="720" w:hanging="360"/>
      </w:pPr>
    </w:lvl>
    <w:lvl w:ilvl="1" w:tplc="E142601A">
      <w:numFmt w:val="decimal"/>
      <w:lvlText w:val=""/>
      <w:lvlJc w:val="left"/>
    </w:lvl>
    <w:lvl w:ilvl="2" w:tplc="424E3030">
      <w:numFmt w:val="decimal"/>
      <w:lvlText w:val=""/>
      <w:lvlJc w:val="left"/>
    </w:lvl>
    <w:lvl w:ilvl="3" w:tplc="E91ED734">
      <w:numFmt w:val="decimal"/>
      <w:lvlText w:val=""/>
      <w:lvlJc w:val="left"/>
    </w:lvl>
    <w:lvl w:ilvl="4" w:tplc="A69AD6E6">
      <w:numFmt w:val="decimal"/>
      <w:lvlText w:val=""/>
      <w:lvlJc w:val="left"/>
    </w:lvl>
    <w:lvl w:ilvl="5" w:tplc="E5A6CC98">
      <w:numFmt w:val="decimal"/>
      <w:lvlText w:val=""/>
      <w:lvlJc w:val="left"/>
    </w:lvl>
    <w:lvl w:ilvl="6" w:tplc="7F0083E0">
      <w:numFmt w:val="decimal"/>
      <w:lvlText w:val=""/>
      <w:lvlJc w:val="left"/>
    </w:lvl>
    <w:lvl w:ilvl="7" w:tplc="C3DA3592">
      <w:numFmt w:val="decimal"/>
      <w:lvlText w:val=""/>
      <w:lvlJc w:val="left"/>
    </w:lvl>
    <w:lvl w:ilvl="8" w:tplc="80C227A4">
      <w:numFmt w:val="decimal"/>
      <w:lvlText w:val=""/>
      <w:lvlJc w:val="left"/>
    </w:lvl>
  </w:abstractNum>
  <w:abstractNum w:abstractNumId="3" w15:restartNumberingAfterBreak="0">
    <w:nsid w:val="6C6C3D6D"/>
    <w:multiLevelType w:val="hybridMultilevel"/>
    <w:tmpl w:val="5C1E845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19155972">
    <w:abstractNumId w:val="0"/>
  </w:num>
  <w:num w:numId="2" w16cid:durableId="1278559155">
    <w:abstractNumId w:val="3"/>
  </w:num>
  <w:num w:numId="3" w16cid:durableId="2099131726">
    <w:abstractNumId w:val="2"/>
    <w:lvlOverride w:ilvl="0">
      <w:startOverride w:val="1"/>
    </w:lvlOverride>
  </w:num>
  <w:num w:numId="4" w16cid:durableId="11661664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4EE"/>
    <w:rsid w:val="0006431D"/>
    <w:rsid w:val="00070779"/>
    <w:rsid w:val="005241BA"/>
    <w:rsid w:val="00553E75"/>
    <w:rsid w:val="00703915"/>
    <w:rsid w:val="008271E0"/>
    <w:rsid w:val="00840428"/>
    <w:rsid w:val="008A4A70"/>
    <w:rsid w:val="009738F4"/>
    <w:rsid w:val="00A52362"/>
    <w:rsid w:val="00C361A8"/>
    <w:rsid w:val="00C752D1"/>
    <w:rsid w:val="00D26743"/>
    <w:rsid w:val="00E07F7E"/>
    <w:rsid w:val="00ED54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67A24"/>
  <w15:chartTrackingRefBased/>
  <w15:docId w15:val="{A1A80BFD-D22C-4158-8A33-CC8B0F834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41BA"/>
    <w:pPr>
      <w:spacing w:after="0" w:line="240" w:lineRule="auto"/>
    </w:pPr>
    <w:rPr>
      <w:rFonts w:ascii="Arial" w:eastAsia="Arial" w:hAnsi="Arial" w:cs="Arial"/>
      <w:color w:val="37474F"/>
      <w:kern w:val="0"/>
      <w:sz w:val="22"/>
      <w:szCs w:val="22"/>
      <w:lang w:eastAsia="en-GB"/>
      <w14:ligatures w14:val="none"/>
    </w:rPr>
  </w:style>
  <w:style w:type="paragraph" w:styleId="Heading1">
    <w:name w:val="heading 1"/>
    <w:basedOn w:val="Normal"/>
    <w:next w:val="Normal"/>
    <w:link w:val="Heading1Char"/>
    <w:uiPriority w:val="9"/>
    <w:qFormat/>
    <w:rsid w:val="00ED54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54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54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54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54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54E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4E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4E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4E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4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54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54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54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54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54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4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4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4EE"/>
    <w:rPr>
      <w:rFonts w:eastAsiaTheme="majorEastAsia" w:cstheme="majorBidi"/>
      <w:color w:val="272727" w:themeColor="text1" w:themeTint="D8"/>
    </w:rPr>
  </w:style>
  <w:style w:type="paragraph" w:styleId="Title">
    <w:name w:val="Title"/>
    <w:basedOn w:val="Normal"/>
    <w:next w:val="Normal"/>
    <w:link w:val="TitleChar"/>
    <w:uiPriority w:val="10"/>
    <w:qFormat/>
    <w:rsid w:val="00ED54E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54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4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4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4EE"/>
    <w:pPr>
      <w:spacing w:before="160"/>
      <w:jc w:val="center"/>
    </w:pPr>
    <w:rPr>
      <w:i/>
      <w:iCs/>
      <w:color w:val="404040" w:themeColor="text1" w:themeTint="BF"/>
    </w:rPr>
  </w:style>
  <w:style w:type="character" w:customStyle="1" w:styleId="QuoteChar">
    <w:name w:val="Quote Char"/>
    <w:basedOn w:val="DefaultParagraphFont"/>
    <w:link w:val="Quote"/>
    <w:uiPriority w:val="29"/>
    <w:rsid w:val="00ED54EE"/>
    <w:rPr>
      <w:i/>
      <w:iCs/>
      <w:color w:val="404040" w:themeColor="text1" w:themeTint="BF"/>
    </w:rPr>
  </w:style>
  <w:style w:type="paragraph" w:styleId="ListParagraph">
    <w:name w:val="List Paragraph"/>
    <w:basedOn w:val="Normal"/>
    <w:qFormat/>
    <w:rsid w:val="00ED54EE"/>
    <w:pPr>
      <w:ind w:left="720"/>
      <w:contextualSpacing/>
    </w:pPr>
  </w:style>
  <w:style w:type="character" w:styleId="IntenseEmphasis">
    <w:name w:val="Intense Emphasis"/>
    <w:basedOn w:val="DefaultParagraphFont"/>
    <w:uiPriority w:val="21"/>
    <w:qFormat/>
    <w:rsid w:val="00ED54EE"/>
    <w:rPr>
      <w:i/>
      <w:iCs/>
      <w:color w:val="0F4761" w:themeColor="accent1" w:themeShade="BF"/>
    </w:rPr>
  </w:style>
  <w:style w:type="paragraph" w:styleId="IntenseQuote">
    <w:name w:val="Intense Quote"/>
    <w:basedOn w:val="Normal"/>
    <w:next w:val="Normal"/>
    <w:link w:val="IntenseQuoteChar"/>
    <w:uiPriority w:val="30"/>
    <w:qFormat/>
    <w:rsid w:val="00ED54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54EE"/>
    <w:rPr>
      <w:i/>
      <w:iCs/>
      <w:color w:val="0F4761" w:themeColor="accent1" w:themeShade="BF"/>
    </w:rPr>
  </w:style>
  <w:style w:type="character" w:styleId="IntenseReference">
    <w:name w:val="Intense Reference"/>
    <w:basedOn w:val="DefaultParagraphFont"/>
    <w:uiPriority w:val="32"/>
    <w:qFormat/>
    <w:rsid w:val="00ED54EE"/>
    <w:rPr>
      <w:b/>
      <w:bCs/>
      <w:smallCaps/>
      <w:color w:val="0F4761" w:themeColor="accent1" w:themeShade="BF"/>
      <w:spacing w:val="5"/>
    </w:rPr>
  </w:style>
  <w:style w:type="character" w:styleId="Hyperlink">
    <w:name w:val="Hyperlink"/>
    <w:uiPriority w:val="99"/>
    <w:unhideWhenUsed/>
    <w:rsid w:val="008271E0"/>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fcom.org.uk/research-and-data/telecoms-research/adults-media-use-and-attitudes" TargetMode="External"/><Relationship Id="rId3" Type="http://schemas.openxmlformats.org/officeDocument/2006/relationships/settings" Target="settings.xml"/><Relationship Id="rId7" Type="http://schemas.openxmlformats.org/officeDocument/2006/relationships/hyperlink" Target="https://www.ncsc.gov.uk/guidance/phish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tsafeonline.org/protecting-yourself/phishing" TargetMode="External"/><Relationship Id="rId11" Type="http://schemas.openxmlformats.org/officeDocument/2006/relationships/theme" Target="theme/theme1.xml"/><Relationship Id="rId5" Type="http://schemas.openxmlformats.org/officeDocument/2006/relationships/hyperlink" Target="https://www.actionfraud.police.uk"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ukfinance.org.uk/policy-and-guidance/reports-publications/annual-fraud-report-20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1500</Words>
  <Characters>8552</Characters>
  <Application>Microsoft Office Word</Application>
  <DocSecurity>0</DocSecurity>
  <Lines>71</Lines>
  <Paragraphs>20</Paragraphs>
  <ScaleCrop>false</ScaleCrop>
  <Company/>
  <LinksUpToDate>false</LinksUpToDate>
  <CharactersWithSpaces>10032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Ramesh Yadav</dc:creator>
  <cp:keywords/>
  <dc:description/>
  <cp:lastModifiedBy>Ramesh Yadav</cp:lastModifiedBy>
  <cp:revision>2</cp:revision>
  <dcterms:created xsi:type="dcterms:W3CDTF">2026-06-05T10:54:00Z</dcterms:created>
  <dcterms:modified xsi:type="dcterms:W3CDTF">2026-06-05T10:54:00Z</dcterms:modified>
</cp:coreProperties>
</file>