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color w:val="0C4A6E"/>
          <w:sz w:val="44"/>
        </w:rPr>
        <w:t>Test Executive Report</w:t>
        <w:br/>
      </w:r>
    </w:p>
    <w:p>
      <w:r>
        <w:t>CYBERNEX Sovereign AI Workbench Deliverable</w:t>
      </w:r>
    </w:p>
    <w:p>
      <w:r>
        <w:t>============================================================</w:t>
      </w:r>
    </w:p>
    <w:p>
      <w:pPr>
        <w:pStyle w:val="Heading1"/>
      </w:pPr>
      <w:r>
        <w:rPr>
          <w:color w:val="0369A1"/>
        </w:rPr>
        <w:t>1. Executive Summary</w:t>
        <w:br/>
      </w:r>
    </w:p>
    <w:p>
      <w:r>
        <w:t>Summary text with OCR noise and valid content.</w:t>
      </w:r>
    </w:p>
    <w:p>
      <w:pPr>
        <w:pStyle w:val="Heading1"/>
      </w:pPr>
      <w:r>
        <w:rPr>
          <w:color w:val="0369A1"/>
        </w:rPr>
        <w:t>2. OCR Extracted Evidence</w:t>
      </w:r>
    </w:p>
    <w:p>
      <w:r>
        <w:t>Sl. No. 252601611969</w:t>
      </w:r>
    </w:p>
    <w:p>
      <w:r>
        <w:t>--- Page 2 ---</w:t>
        <w:br/>
        <w:t>GRADE CARDPASS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