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C4A6E"/>
          <w:sz w:val="44"/>
        </w:rPr>
        <w:t>Standalone Regression Report</w:t>
      </w:r>
    </w:p>
    <w:p>
      <w:r>
        <w:t>CYBERNEX Sovereign AI Workbench Deliverable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0369A1"/>
        </w:rPr>
        <w:t>Executive Summary</w:t>
      </w:r>
    </w:p>
    <w:p>
      <w:r>
        <w:t xml:space="preserve">Line 1 with </w:t>
        <w:br/>
        <w:t>formfeed and null byte.</w:t>
      </w:r>
    </w:p>
    <w:p>
      <w:r>
        <w:t>Paragraph 2.</w:t>
      </w:r>
    </w:p>
    <w:p>
      <w:pPr>
        <w:pStyle w:val="Heading1"/>
      </w:pPr>
      <w:r>
        <w:rPr>
          <w:color w:val="0369A1"/>
        </w:rPr>
        <w:t>OCR Findings</w:t>
      </w:r>
    </w:p>
    <w:p>
      <w:r>
        <w:t>Sl. No. 252601611969</w:t>
        <w:br/>
        <w:t>BRAINWARE UNIVERSITY</w:t>
        <w:br/>
        <w:t>GRADE CARD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