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80" w:lineRule="auto"/>
        <w:rPr>
          <w:b w:val="1"/>
          <w:bCs w:val="1"/>
          <w:sz w:val="22"/>
          <w:szCs w:val="22"/>
        </w:rPr>
      </w:pPr>
      <w:r w:rsidDel="00000000" w:rsidR="00000000" w:rsidRPr="00000000">
        <w:rPr>
          <w:b w:val="1"/>
          <w:bCs w:val="1"/>
          <w:sz w:val="22"/>
          <w:szCs w:val="22"/>
          <w:rtl w:val="0"/>
        </w:rPr>
        <w:t xml:space="preserve">Spotify Project – Dashboard Design Plan </w:t>
      </w:r>
    </w:p>
    <w:p w:rsidR="00000000" w:rsidDel="00000000" w:rsidP="00000000" w:rsidRDefault="00000000" w:rsidRPr="00000000" w14:paraId="00000002">
      <w:pPr>
        <w:spacing w:after="60" w:before="80" w:lineRule="auto"/>
        <w:rPr>
          <w:sz w:val="22"/>
          <w:szCs w:val="22"/>
        </w:rPr>
      </w:pPr>
      <w:r w:rsidDel="00000000" w:rsidR="00000000" w:rsidRPr="00000000">
        <w:rPr>
          <w:rtl w:val="0"/>
        </w:rPr>
      </w:r>
    </w:p>
    <w:p w:rsidR="00000000" w:rsidDel="00000000" w:rsidP="00000000" w:rsidRDefault="00000000" w:rsidRPr="00000000" w14:paraId="00000003">
      <w:pPr>
        <w:spacing w:after="80" w:before="80" w:lineRule="auto"/>
        <w:rPr>
          <w:sz w:val="22"/>
          <w:szCs w:val="22"/>
        </w:rPr>
      </w:pPr>
      <w:r w:rsidDel="00000000" w:rsidR="00000000" w:rsidRPr="00000000">
        <w:rPr>
          <w:sz w:val="22"/>
          <w:szCs w:val="22"/>
          <w:rtl w:val="0"/>
        </w:rPr>
        <w:t xml:space="preserve">The goal of this project was to design and build Tableau dashboards for a Spotify financial and user dataset covering 25 quarters of data across 18 columns. The dashboards were built for three stakeholders — Sarah (Head of Strategy), Mark (Director of Revenue) and Olivia (VP of Operations) — each with different analytical needs.</w:t>
      </w:r>
    </w:p>
    <w:p w:rsidR="00000000" w:rsidDel="00000000" w:rsidP="00000000" w:rsidRDefault="00000000" w:rsidRPr="00000000" w14:paraId="00000004">
      <w:pPr>
        <w:spacing w:before="100" w:lineRule="auto"/>
        <w:rPr>
          <w:sz w:val="22"/>
          <w:szCs w:val="22"/>
        </w:rPr>
      </w:pPr>
      <w:r w:rsidDel="00000000" w:rsidR="00000000" w:rsidRPr="00000000">
        <w:rPr>
          <w:rtl w:val="0"/>
        </w:rPr>
      </w:r>
    </w:p>
    <w:p w:rsidR="00000000" w:rsidDel="00000000" w:rsidP="00000000" w:rsidRDefault="00000000" w:rsidRPr="00000000" w14:paraId="00000005">
      <w:pPr>
        <w:spacing w:after="60" w:before="80" w:lineRule="auto"/>
        <w:rPr>
          <w:b w:val="1"/>
          <w:bCs w:val="1"/>
          <w:sz w:val="22"/>
          <w:szCs w:val="22"/>
        </w:rPr>
      </w:pPr>
      <w:r w:rsidDel="00000000" w:rsidR="00000000" w:rsidRPr="00000000">
        <w:rPr>
          <w:b w:val="1"/>
          <w:bCs w:val="1"/>
          <w:sz w:val="22"/>
          <w:szCs w:val="22"/>
          <w:rtl w:val="0"/>
        </w:rPr>
        <w:t xml:space="preserve">Starting Point — Understanding What Each Stakeholder Needed</w:t>
      </w:r>
    </w:p>
    <w:p w:rsidR="00000000" w:rsidDel="00000000" w:rsidP="00000000" w:rsidRDefault="00000000" w:rsidRPr="00000000" w14:paraId="00000006">
      <w:pPr>
        <w:spacing w:after="60" w:before="80" w:lineRule="auto"/>
        <w:rPr>
          <w:sz w:val="22"/>
          <w:szCs w:val="22"/>
        </w:rPr>
      </w:pPr>
      <w:r w:rsidDel="00000000" w:rsidR="00000000" w:rsidRPr="00000000">
        <w:rPr>
          <w:rtl w:val="0"/>
        </w:rPr>
      </w:r>
    </w:p>
    <w:p w:rsidR="00000000" w:rsidDel="00000000" w:rsidP="00000000" w:rsidRDefault="00000000" w:rsidRPr="00000000" w14:paraId="00000007">
      <w:pPr>
        <w:spacing w:after="80" w:before="80" w:lineRule="auto"/>
        <w:rPr>
          <w:sz w:val="22"/>
          <w:szCs w:val="22"/>
        </w:rPr>
      </w:pPr>
      <w:r w:rsidDel="00000000" w:rsidR="00000000" w:rsidRPr="00000000">
        <w:rPr>
          <w:sz w:val="22"/>
          <w:szCs w:val="22"/>
          <w:rtl w:val="0"/>
        </w:rPr>
        <w:t xml:space="preserve">Before looking at the data, I mapped each stakeholder to a specific business question. The idea was that every chart would need to answer something concrete, not just look good. Sarah wanted to understand user growth trends. Mark wanted to see how revenue streams had evolved and whether the average revenue per subscriber was improving. Olivia wanted to understand the cost structure and identify where efficiency could be improved.</w:t>
      </w:r>
    </w:p>
    <w:p w:rsidR="00000000" w:rsidDel="00000000" w:rsidP="00000000" w:rsidRDefault="00000000" w:rsidRPr="00000000" w14:paraId="00000008">
      <w:pPr>
        <w:spacing w:before="100" w:lineRule="auto"/>
        <w:rPr>
          <w:sz w:val="22"/>
          <w:szCs w:val="22"/>
        </w:rPr>
      </w:pPr>
      <w:r w:rsidDel="00000000" w:rsidR="00000000" w:rsidRPr="00000000">
        <w:rPr>
          <w:rtl w:val="0"/>
        </w:rPr>
      </w:r>
    </w:p>
    <w:p w:rsidR="00000000" w:rsidDel="00000000" w:rsidP="00000000" w:rsidRDefault="00000000" w:rsidRPr="00000000" w14:paraId="00000009">
      <w:pPr>
        <w:spacing w:after="60" w:before="80" w:lineRule="auto"/>
        <w:rPr>
          <w:b w:val="1"/>
          <w:bCs w:val="1"/>
          <w:sz w:val="22"/>
          <w:szCs w:val="22"/>
        </w:rPr>
      </w:pPr>
      <w:r w:rsidDel="00000000" w:rsidR="00000000" w:rsidRPr="00000000">
        <w:rPr>
          <w:b w:val="1"/>
          <w:bCs w:val="1"/>
          <w:sz w:val="22"/>
          <w:szCs w:val="22"/>
          <w:rtl w:val="0"/>
        </w:rPr>
        <w:t xml:space="preserve">Reading the Dataset</w:t>
      </w:r>
    </w:p>
    <w:p w:rsidR="00000000" w:rsidDel="00000000" w:rsidP="00000000" w:rsidRDefault="00000000" w:rsidRPr="00000000" w14:paraId="0000000A">
      <w:pPr>
        <w:spacing w:after="60" w:before="80" w:lineRule="auto"/>
        <w:rPr>
          <w:sz w:val="22"/>
          <w:szCs w:val="22"/>
        </w:rPr>
      </w:pPr>
      <w:r w:rsidDel="00000000" w:rsidR="00000000" w:rsidRPr="00000000">
        <w:rPr>
          <w:rtl w:val="0"/>
        </w:rPr>
      </w:r>
    </w:p>
    <w:p w:rsidR="00000000" w:rsidDel="00000000" w:rsidP="00000000" w:rsidRDefault="00000000" w:rsidRPr="00000000" w14:paraId="0000000B">
      <w:pPr>
        <w:spacing w:after="80" w:before="80" w:lineRule="auto"/>
        <w:rPr>
          <w:sz w:val="22"/>
          <w:szCs w:val="22"/>
        </w:rPr>
      </w:pPr>
      <w:r w:rsidDel="00000000" w:rsidR="00000000" w:rsidRPr="00000000">
        <w:rPr>
          <w:sz w:val="22"/>
          <w:szCs w:val="22"/>
          <w:rtl w:val="0"/>
        </w:rPr>
        <w:t xml:space="preserve">Once the questions were clear, I examined the dataset to match each column to a stakeholder need. Two things stood out early. First, two columns — total MAUs and total cost — were Excel formulas rather than numbers, which meant Tableau could not read them directly. I recreated both as calculated fields. Second, the premium_arpu column is a pre-calculated ratio, so it requires AVG aggregation in Tableau instead of SUM to avoid a meaningless result.</w:t>
      </w:r>
    </w:p>
    <w:p w:rsidR="00000000" w:rsidDel="00000000" w:rsidP="00000000" w:rsidRDefault="00000000" w:rsidRPr="00000000" w14:paraId="0000000C">
      <w:pPr>
        <w:spacing w:before="100" w:lineRule="auto"/>
        <w:rPr>
          <w:sz w:val="22"/>
          <w:szCs w:val="22"/>
        </w:rPr>
      </w:pPr>
      <w:r w:rsidDel="00000000" w:rsidR="00000000" w:rsidRPr="00000000">
        <w:rPr>
          <w:rtl w:val="0"/>
        </w:rPr>
      </w:r>
    </w:p>
    <w:p w:rsidR="00000000" w:rsidDel="00000000" w:rsidP="00000000" w:rsidRDefault="00000000" w:rsidRPr="00000000" w14:paraId="0000000D">
      <w:pPr>
        <w:spacing w:after="60" w:before="80" w:lineRule="auto"/>
        <w:rPr>
          <w:b w:val="1"/>
          <w:bCs w:val="1"/>
          <w:sz w:val="22"/>
          <w:szCs w:val="22"/>
        </w:rPr>
      </w:pPr>
      <w:r w:rsidDel="00000000" w:rsidR="00000000" w:rsidRPr="00000000">
        <w:rPr>
          <w:b w:val="1"/>
          <w:bCs w:val="1"/>
          <w:sz w:val="22"/>
          <w:szCs w:val="22"/>
          <w:rtl w:val="0"/>
        </w:rPr>
        <w:t xml:space="preserve">First Design — Three Dashboards</w:t>
      </w:r>
    </w:p>
    <w:p w:rsidR="00000000" w:rsidDel="00000000" w:rsidP="00000000" w:rsidRDefault="00000000" w:rsidRPr="00000000" w14:paraId="0000000E">
      <w:pPr>
        <w:spacing w:after="60" w:before="80" w:lineRule="auto"/>
        <w:rPr>
          <w:sz w:val="22"/>
          <w:szCs w:val="22"/>
        </w:rPr>
      </w:pPr>
      <w:r w:rsidDel="00000000" w:rsidR="00000000" w:rsidRPr="00000000">
        <w:rPr>
          <w:rtl w:val="0"/>
        </w:rPr>
      </w:r>
    </w:p>
    <w:p w:rsidR="00000000" w:rsidDel="00000000" w:rsidP="00000000" w:rsidRDefault="00000000" w:rsidRPr="00000000" w14:paraId="0000000F">
      <w:pPr>
        <w:spacing w:after="80" w:before="80" w:lineRule="auto"/>
        <w:rPr>
          <w:sz w:val="22"/>
          <w:szCs w:val="22"/>
        </w:rPr>
      </w:pPr>
      <w:r w:rsidDel="00000000" w:rsidR="00000000" w:rsidRPr="00000000">
        <w:rPr>
          <w:sz w:val="22"/>
          <w:szCs w:val="22"/>
          <w:rtl w:val="0"/>
        </w:rPr>
        <w:t xml:space="preserve">My initial plan was one dashboard per stakeholder. Each dashboard had a row of KPI tiles at the top, a main chart in the centre, and two supporting charts at the bottom. The three dashboards were:</w:t>
      </w:r>
    </w:p>
    <w:p w:rsidR="00000000" w:rsidDel="00000000" w:rsidP="00000000" w:rsidRDefault="00000000" w:rsidRPr="00000000" w14:paraId="00000010">
      <w:pPr>
        <w:spacing w:before="40" w:lineRule="auto"/>
        <w:rPr>
          <w:sz w:val="22"/>
          <w:szCs w:val="22"/>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480" w:right="0" w:hanging="24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1 for Sarah: MAU growth line chart, user split area chart, and year-over-year growth bar chart.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480" w:right="0" w:hanging="24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2 for Mark: Premium vs Ad revenue bar chart, ARPU trend line, and gross profit comparison by stream.</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480" w:right="0" w:hanging="24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3 for Olivia: cost breakdown stacked bar, revenue vs gross profit trend, and costs as a percentage of revenue.</w:t>
      </w:r>
    </w:p>
    <w:p w:rsidR="00000000" w:rsidDel="00000000" w:rsidP="00000000" w:rsidRDefault="00000000" w:rsidRPr="00000000" w14:paraId="00000014">
      <w:pPr>
        <w:spacing w:before="100" w:lineRule="auto"/>
        <w:rPr>
          <w:sz w:val="22"/>
          <w:szCs w:val="22"/>
        </w:rPr>
      </w:pPr>
      <w:r w:rsidDel="00000000" w:rsidR="00000000" w:rsidRPr="00000000">
        <w:rPr>
          <w:rtl w:val="0"/>
        </w:rPr>
      </w:r>
    </w:p>
    <w:p w:rsidR="00000000" w:rsidDel="00000000" w:rsidP="00000000" w:rsidRDefault="00000000" w:rsidRPr="00000000" w14:paraId="00000015">
      <w:pPr>
        <w:spacing w:before="100" w:lineRule="auto"/>
        <w:rPr>
          <w:sz w:val="22"/>
          <w:szCs w:val="22"/>
        </w:rPr>
      </w:pPr>
      <w:hyperlink r:id="rId6">
        <w:r w:rsidDel="00000000" w:rsidR="00000000" w:rsidRPr="00000000">
          <w:rPr>
            <w:color w:val="1155cc"/>
            <w:sz w:val="22"/>
            <w:szCs w:val="22"/>
            <w:u w:val="single"/>
            <w:rtl w:val="0"/>
          </w:rPr>
          <w:t xml:space="preserve">Link to the first mockups:</w:t>
        </w:r>
      </w:hyperlink>
      <w:r w:rsidDel="00000000" w:rsidR="00000000" w:rsidRPr="00000000">
        <w:rPr>
          <w:rtl w:val="0"/>
        </w:rPr>
      </w:r>
    </w:p>
    <w:p w:rsidR="00000000" w:rsidDel="00000000" w:rsidP="00000000" w:rsidRDefault="00000000" w:rsidRPr="00000000" w14:paraId="00000016">
      <w:pPr>
        <w:spacing w:before="100" w:lineRule="auto"/>
        <w:rPr>
          <w:sz w:val="22"/>
          <w:szCs w:val="22"/>
        </w:rPr>
      </w:pPr>
      <w:r w:rsidDel="00000000" w:rsidR="00000000" w:rsidRPr="00000000">
        <w:rPr>
          <w:rtl w:val="0"/>
        </w:rPr>
      </w:r>
    </w:p>
    <w:p w:rsidR="00000000" w:rsidDel="00000000" w:rsidP="00000000" w:rsidRDefault="00000000" w:rsidRPr="00000000" w14:paraId="00000017">
      <w:pPr>
        <w:spacing w:before="100" w:lineRule="auto"/>
        <w:rPr>
          <w:sz w:val="22"/>
          <w:szCs w:val="22"/>
        </w:rPr>
      </w:pPr>
      <w:r w:rsidDel="00000000" w:rsidR="00000000" w:rsidRPr="00000000">
        <w:rPr>
          <w:rtl w:val="0"/>
        </w:rPr>
      </w:r>
    </w:p>
    <w:p w:rsidR="00000000" w:rsidDel="00000000" w:rsidP="00000000" w:rsidRDefault="00000000" w:rsidRPr="00000000" w14:paraId="00000018">
      <w:pPr>
        <w:spacing w:before="100" w:lineRule="auto"/>
        <w:rPr>
          <w:sz w:val="22"/>
          <w:szCs w:val="22"/>
        </w:rPr>
      </w:pPr>
      <w:r w:rsidDel="00000000" w:rsidR="00000000" w:rsidRPr="00000000">
        <w:rPr>
          <w:rtl w:val="0"/>
        </w:rPr>
      </w:r>
    </w:p>
    <w:p w:rsidR="00000000" w:rsidDel="00000000" w:rsidP="00000000" w:rsidRDefault="00000000" w:rsidRPr="00000000" w14:paraId="00000019">
      <w:pPr>
        <w:spacing w:before="100" w:lineRule="auto"/>
        <w:rPr>
          <w:sz w:val="22"/>
          <w:szCs w:val="22"/>
        </w:rPr>
      </w:pPr>
      <w:r w:rsidDel="00000000" w:rsidR="00000000" w:rsidRPr="00000000">
        <w:rPr>
          <w:rtl w:val="0"/>
        </w:rPr>
      </w:r>
    </w:p>
    <w:p w:rsidR="00000000" w:rsidDel="00000000" w:rsidP="00000000" w:rsidRDefault="00000000" w:rsidRPr="00000000" w14:paraId="0000001A">
      <w:pPr>
        <w:spacing w:before="100" w:lineRule="auto"/>
        <w:rPr>
          <w:sz w:val="22"/>
          <w:szCs w:val="22"/>
        </w:rPr>
      </w:pPr>
      <w:r w:rsidDel="00000000" w:rsidR="00000000" w:rsidRPr="00000000">
        <w:rPr>
          <w:rtl w:val="0"/>
        </w:rPr>
      </w:r>
    </w:p>
    <w:p w:rsidR="00000000" w:rsidDel="00000000" w:rsidP="00000000" w:rsidRDefault="00000000" w:rsidRPr="00000000" w14:paraId="0000001B">
      <w:pPr>
        <w:spacing w:after="60" w:before="80" w:lineRule="auto"/>
        <w:rPr>
          <w:b w:val="1"/>
          <w:bCs w:val="1"/>
          <w:sz w:val="22"/>
          <w:szCs w:val="22"/>
        </w:rPr>
      </w:pPr>
      <w:r w:rsidDel="00000000" w:rsidR="00000000" w:rsidRPr="00000000">
        <w:rPr>
          <w:b w:val="1"/>
          <w:bCs w:val="1"/>
          <w:sz w:val="22"/>
          <w:szCs w:val="22"/>
          <w:rtl w:val="0"/>
        </w:rPr>
        <w:t xml:space="preserve">After the Stakeholder Meeting — Moving to Two Dashboards</w:t>
      </w:r>
    </w:p>
    <w:p w:rsidR="00000000" w:rsidDel="00000000" w:rsidP="00000000" w:rsidRDefault="00000000" w:rsidRPr="00000000" w14:paraId="0000001C">
      <w:pPr>
        <w:spacing w:after="60" w:before="80" w:lineRule="auto"/>
        <w:rPr>
          <w:sz w:val="22"/>
          <w:szCs w:val="22"/>
        </w:rPr>
      </w:pPr>
      <w:r w:rsidDel="00000000" w:rsidR="00000000" w:rsidRPr="00000000">
        <w:rPr>
          <w:rtl w:val="0"/>
        </w:rPr>
      </w:r>
    </w:p>
    <w:p w:rsidR="00000000" w:rsidDel="00000000" w:rsidP="00000000" w:rsidRDefault="00000000" w:rsidRPr="00000000" w14:paraId="0000001D">
      <w:pPr>
        <w:spacing w:after="80" w:before="80" w:lineRule="auto"/>
        <w:rPr>
          <w:sz w:val="22"/>
          <w:szCs w:val="22"/>
        </w:rPr>
      </w:pPr>
      <w:r w:rsidDel="00000000" w:rsidR="00000000" w:rsidRPr="00000000">
        <w:rPr>
          <w:sz w:val="22"/>
          <w:szCs w:val="22"/>
          <w:rtl w:val="0"/>
        </w:rPr>
        <w:t xml:space="preserve">After a follow-up meeting, the decision was made to consolidate to two dashboards. Sarah and Mark were combined into one because their questions are naturally connected — users drive revenue, and reading both together tells a stronger story than reading them separately. Olivia kept her own dashboard since her cost and efficiency questions belong to a different analytical frame.</w:t>
      </w:r>
    </w:p>
    <w:p w:rsidR="00000000" w:rsidDel="00000000" w:rsidP="00000000" w:rsidRDefault="00000000" w:rsidRPr="00000000" w14:paraId="0000001E">
      <w:pPr>
        <w:spacing w:before="40" w:lineRule="auto"/>
        <w:rPr>
          <w:sz w:val="22"/>
          <w:szCs w:val="22"/>
        </w:rPr>
      </w:pPr>
      <w:r w:rsidDel="00000000" w:rsidR="00000000" w:rsidRPr="00000000">
        <w:rPr>
          <w:rtl w:val="0"/>
        </w:rPr>
      </w:r>
    </w:p>
    <w:p w:rsidR="00000000" w:rsidDel="00000000" w:rsidP="00000000" w:rsidRDefault="00000000" w:rsidRPr="00000000" w14:paraId="0000001F">
      <w:pPr>
        <w:spacing w:after="80" w:before="80" w:lineRule="auto"/>
        <w:rPr>
          <w:sz w:val="22"/>
          <w:szCs w:val="22"/>
        </w:rPr>
      </w:pPr>
      <w:r w:rsidDel="00000000" w:rsidR="00000000" w:rsidRPr="00000000">
        <w:rPr>
          <w:sz w:val="22"/>
          <w:szCs w:val="22"/>
          <w:rtl w:val="0"/>
        </w:rPr>
        <w:t xml:space="preserve">The main changes in the consolidation were:</w:t>
      </w:r>
    </w:p>
    <w:p w:rsidR="00000000" w:rsidDel="00000000" w:rsidP="00000000" w:rsidRDefault="00000000" w:rsidRPr="00000000" w14:paraId="00000020">
      <w:pPr>
        <w:spacing w:before="40" w:lineRule="auto"/>
        <w:rPr>
          <w:sz w:val="22"/>
          <w:szCs w:val="22"/>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480" w:right="0" w:hanging="24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gross profit by stream chart moved from Mark's dashboard to Olivia's, since profitability per stream is more relevant next to cost analysis.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480" w:right="0" w:hanging="24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Revenue Mix % chart was added to the combined dashboard using a calculated field — it answered Mark's question about whether Premium was maintaining its share of total revenue.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480" w:right="0" w:hanging="24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Total Cost KPI tile was added to Olivia's dashboard using a second calculated field, giving her an immediate headline number.</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480" w:right="0" w:hanging="24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year-over-year MAU growth bar was removed as a standalone chart and its information folded into the MAU line chart, saving space without losing insight.</w:t>
      </w:r>
    </w:p>
    <w:p w:rsidR="00000000" w:rsidDel="00000000" w:rsidP="00000000" w:rsidRDefault="00000000" w:rsidRPr="00000000" w14:paraId="00000025">
      <w:pPr>
        <w:spacing w:before="100" w:lineRule="auto"/>
        <w:rPr>
          <w:sz w:val="22"/>
          <w:szCs w:val="22"/>
        </w:rPr>
      </w:pPr>
      <w:r w:rsidDel="00000000" w:rsidR="00000000" w:rsidRPr="00000000">
        <w:rPr>
          <w:rtl w:val="0"/>
        </w:rPr>
      </w:r>
    </w:p>
    <w:p w:rsidR="00000000" w:rsidDel="00000000" w:rsidP="00000000" w:rsidRDefault="00000000" w:rsidRPr="00000000" w14:paraId="00000026">
      <w:pPr>
        <w:spacing w:before="100" w:lineRule="auto"/>
        <w:rPr>
          <w:sz w:val="22"/>
          <w:szCs w:val="22"/>
        </w:rPr>
      </w:pPr>
      <w:hyperlink r:id="rId7">
        <w:r w:rsidDel="00000000" w:rsidR="00000000" w:rsidRPr="00000000">
          <w:rPr>
            <w:color w:val="1155cc"/>
            <w:sz w:val="22"/>
            <w:szCs w:val="22"/>
            <w:u w:val="single"/>
            <w:rtl w:val="0"/>
          </w:rPr>
          <w:t xml:space="preserve">Final Dashboard Mockups</w:t>
        </w:r>
      </w:hyperlink>
      <w:r w:rsidDel="00000000" w:rsidR="00000000" w:rsidRPr="00000000">
        <w:rPr>
          <w:rtl w:val="0"/>
        </w:rPr>
      </w:r>
    </w:p>
    <w:p w:rsidR="00000000" w:rsidDel="00000000" w:rsidP="00000000" w:rsidRDefault="00000000" w:rsidRPr="00000000" w14:paraId="00000027">
      <w:pPr>
        <w:spacing w:before="100" w:lineRule="auto"/>
        <w:rPr>
          <w:sz w:val="22"/>
          <w:szCs w:val="22"/>
        </w:rPr>
      </w:pPr>
      <w:r w:rsidDel="00000000" w:rsidR="00000000" w:rsidRPr="00000000">
        <w:rPr>
          <w:rtl w:val="0"/>
        </w:rPr>
      </w:r>
    </w:p>
    <w:p w:rsidR="00000000" w:rsidDel="00000000" w:rsidP="00000000" w:rsidRDefault="00000000" w:rsidRPr="00000000" w14:paraId="00000028">
      <w:pPr>
        <w:spacing w:before="100" w:lineRule="auto"/>
        <w:rPr>
          <w:sz w:val="22"/>
          <w:szCs w:val="22"/>
        </w:rPr>
      </w:pPr>
      <w:r w:rsidDel="00000000" w:rsidR="00000000" w:rsidRPr="00000000">
        <w:rPr>
          <w:rtl w:val="0"/>
        </w:rPr>
      </w:r>
    </w:p>
    <w:p w:rsidR="00000000" w:rsidDel="00000000" w:rsidP="00000000" w:rsidRDefault="00000000" w:rsidRPr="00000000" w14:paraId="00000029">
      <w:pPr>
        <w:spacing w:after="60" w:before="80" w:lineRule="auto"/>
        <w:rPr>
          <w:b w:val="1"/>
          <w:bCs w:val="1"/>
          <w:sz w:val="22"/>
          <w:szCs w:val="22"/>
        </w:rPr>
      </w:pPr>
      <w:r w:rsidDel="00000000" w:rsidR="00000000" w:rsidRPr="00000000">
        <w:rPr>
          <w:b w:val="1"/>
          <w:bCs w:val="1"/>
          <w:sz w:val="22"/>
          <w:szCs w:val="22"/>
          <w:rtl w:val="0"/>
        </w:rPr>
        <w:t xml:space="preserve">How I Chose Each Chart Type</w:t>
      </w:r>
    </w:p>
    <w:p w:rsidR="00000000" w:rsidDel="00000000" w:rsidP="00000000" w:rsidRDefault="00000000" w:rsidRPr="00000000" w14:paraId="0000002A">
      <w:pPr>
        <w:spacing w:after="60" w:before="80" w:lineRule="auto"/>
        <w:rPr>
          <w:sz w:val="22"/>
          <w:szCs w:val="22"/>
        </w:rPr>
      </w:pPr>
      <w:r w:rsidDel="00000000" w:rsidR="00000000" w:rsidRPr="00000000">
        <w:rPr>
          <w:rtl w:val="0"/>
        </w:rPr>
      </w:r>
    </w:p>
    <w:p w:rsidR="00000000" w:rsidDel="00000000" w:rsidP="00000000" w:rsidRDefault="00000000" w:rsidRPr="00000000" w14:paraId="0000002B">
      <w:pPr>
        <w:spacing w:after="80" w:before="80" w:lineRule="auto"/>
        <w:rPr>
          <w:sz w:val="22"/>
          <w:szCs w:val="22"/>
        </w:rPr>
      </w:pPr>
      <w:r w:rsidDel="00000000" w:rsidR="00000000" w:rsidRPr="00000000">
        <w:rPr>
          <w:sz w:val="22"/>
          <w:szCs w:val="22"/>
          <w:rtl w:val="0"/>
        </w:rPr>
        <w:t xml:space="preserve">Each chart type was chosen based on what the question required, not visual preference. Line charts were used for anything showing change over time. Stacked area was used when the question was about proportions rather than totals. Side-by-side bars were used for the gross profit comparison specifically because the ad stream had negative values in several quarters — a stacked bar would have hidden that. The multi-line cost efficiency chart replaced what could have been four separate bar charts, making the comparison between cost categories much cleaner.</w:t>
      </w:r>
    </w:p>
    <w:p w:rsidR="00000000" w:rsidDel="00000000" w:rsidP="00000000" w:rsidRDefault="00000000" w:rsidRPr="00000000" w14:paraId="0000002C">
      <w:pPr>
        <w:spacing w:before="100" w:lineRule="auto"/>
        <w:rPr>
          <w:sz w:val="22"/>
          <w:szCs w:val="22"/>
        </w:rPr>
      </w:pPr>
      <w:r w:rsidDel="00000000" w:rsidR="00000000" w:rsidRPr="00000000">
        <w:rPr>
          <w:rtl w:val="0"/>
        </w:rPr>
      </w:r>
    </w:p>
    <w:p w:rsidR="00000000" w:rsidDel="00000000" w:rsidP="00000000" w:rsidRDefault="00000000" w:rsidRPr="00000000" w14:paraId="0000002D">
      <w:pPr>
        <w:spacing w:after="60" w:before="80" w:lineRule="auto"/>
        <w:rPr>
          <w:b w:val="1"/>
          <w:bCs w:val="1"/>
          <w:sz w:val="22"/>
          <w:szCs w:val="22"/>
        </w:rPr>
      </w:pPr>
      <w:r w:rsidDel="00000000" w:rsidR="00000000" w:rsidRPr="00000000">
        <w:rPr>
          <w:b w:val="1"/>
          <w:bCs w:val="1"/>
          <w:sz w:val="22"/>
          <w:szCs w:val="22"/>
          <w:rtl w:val="0"/>
        </w:rPr>
        <w:t xml:space="preserve">Filters</w:t>
      </w:r>
    </w:p>
    <w:p w:rsidR="00000000" w:rsidDel="00000000" w:rsidP="00000000" w:rsidRDefault="00000000" w:rsidRPr="00000000" w14:paraId="0000002E">
      <w:pPr>
        <w:spacing w:after="60" w:before="80" w:lineRule="auto"/>
        <w:rPr>
          <w:sz w:val="22"/>
          <w:szCs w:val="22"/>
        </w:rPr>
      </w:pPr>
      <w:r w:rsidDel="00000000" w:rsidR="00000000" w:rsidRPr="00000000">
        <w:rPr>
          <w:rtl w:val="0"/>
        </w:rPr>
      </w:r>
    </w:p>
    <w:p w:rsidR="00000000" w:rsidDel="00000000" w:rsidP="00000000" w:rsidRDefault="00000000" w:rsidRPr="00000000" w14:paraId="0000002F">
      <w:pPr>
        <w:spacing w:after="80" w:before="80" w:lineRule="auto"/>
        <w:rPr>
          <w:sz w:val="22"/>
          <w:szCs w:val="22"/>
        </w:rPr>
      </w:pPr>
      <w:r w:rsidDel="00000000" w:rsidR="00000000" w:rsidRPr="00000000">
        <w:rPr>
          <w:sz w:val="22"/>
          <w:szCs w:val="22"/>
          <w:rtl w:val="0"/>
        </w:rPr>
        <w:t xml:space="preserve">Both dashboards use Year and Quarter filters, applied to all sheets simultaneously from the dashboard level. A stream filter was considered but not included — the Premium vs Ad comparison is already built visually into every relevant chart, so a toggle would have removed information rather than added it.</w:t>
      </w:r>
    </w:p>
    <w:p w:rsidR="00000000" w:rsidDel="00000000" w:rsidP="00000000" w:rsidRDefault="00000000" w:rsidRPr="00000000" w14:paraId="00000030">
      <w:pPr>
        <w:spacing w:before="100" w:lineRule="auto"/>
        <w:rPr>
          <w:sz w:val="22"/>
          <w:szCs w:val="22"/>
        </w:rPr>
      </w:pPr>
      <w:r w:rsidDel="00000000" w:rsidR="00000000" w:rsidRPr="00000000">
        <w:rPr>
          <w:rtl w:val="0"/>
        </w:rPr>
      </w:r>
    </w:p>
    <w:p w:rsidR="00000000" w:rsidDel="00000000" w:rsidP="00000000" w:rsidRDefault="00000000" w:rsidRPr="00000000" w14:paraId="00000031">
      <w:pPr>
        <w:spacing w:before="100" w:lineRule="auto"/>
        <w:rPr>
          <w:sz w:val="22"/>
          <w:szCs w:val="22"/>
        </w:rPr>
      </w:pPr>
      <w:r w:rsidDel="00000000" w:rsidR="00000000" w:rsidRPr="00000000">
        <w:rPr>
          <w:rtl w:val="0"/>
        </w:rPr>
      </w:r>
    </w:p>
    <w:p w:rsidR="00000000" w:rsidDel="00000000" w:rsidP="00000000" w:rsidRDefault="00000000" w:rsidRPr="00000000" w14:paraId="00000032">
      <w:pPr>
        <w:spacing w:before="100" w:lineRule="auto"/>
        <w:rPr>
          <w:sz w:val="22"/>
          <w:szCs w:val="22"/>
        </w:rPr>
      </w:pPr>
      <w:r w:rsidDel="00000000" w:rsidR="00000000" w:rsidRPr="00000000">
        <w:rPr>
          <w:rtl w:val="0"/>
        </w:rPr>
      </w:r>
    </w:p>
    <w:p w:rsidR="00000000" w:rsidDel="00000000" w:rsidP="00000000" w:rsidRDefault="00000000" w:rsidRPr="00000000" w14:paraId="00000033">
      <w:pPr>
        <w:spacing w:before="100" w:lineRule="auto"/>
        <w:rPr>
          <w:sz w:val="22"/>
          <w:szCs w:val="22"/>
        </w:rPr>
      </w:pPr>
      <w:r w:rsidDel="00000000" w:rsidR="00000000" w:rsidRPr="00000000">
        <w:rPr>
          <w:rtl w:val="0"/>
        </w:rPr>
      </w:r>
    </w:p>
    <w:p w:rsidR="00000000" w:rsidDel="00000000" w:rsidP="00000000" w:rsidRDefault="00000000" w:rsidRPr="00000000" w14:paraId="00000034">
      <w:pPr>
        <w:spacing w:after="60" w:before="80" w:lineRule="auto"/>
        <w:rPr>
          <w:b w:val="1"/>
          <w:bCs w:val="1"/>
          <w:sz w:val="22"/>
          <w:szCs w:val="22"/>
        </w:rPr>
      </w:pPr>
      <w:r w:rsidDel="00000000" w:rsidR="00000000" w:rsidRPr="00000000">
        <w:rPr>
          <w:b w:val="1"/>
          <w:bCs w:val="1"/>
          <w:sz w:val="22"/>
          <w:szCs w:val="22"/>
          <w:rtl w:val="0"/>
        </w:rPr>
        <w:t xml:space="preserve">What the Data Revealed</w:t>
      </w:r>
    </w:p>
    <w:p w:rsidR="00000000" w:rsidDel="00000000" w:rsidP="00000000" w:rsidRDefault="00000000" w:rsidRPr="00000000" w14:paraId="00000035">
      <w:pPr>
        <w:spacing w:after="60" w:before="80" w:lineRule="auto"/>
        <w:rPr>
          <w:sz w:val="22"/>
          <w:szCs w:val="22"/>
        </w:rPr>
      </w:pPr>
      <w:r w:rsidDel="00000000" w:rsidR="00000000" w:rsidRPr="00000000">
        <w:rPr>
          <w:rtl w:val="0"/>
        </w:rPr>
      </w:r>
    </w:p>
    <w:p w:rsidR="00000000" w:rsidDel="00000000" w:rsidP="00000000" w:rsidRDefault="00000000" w:rsidRPr="00000000" w14:paraId="00000036">
      <w:pPr>
        <w:spacing w:after="80" w:before="80" w:lineRule="auto"/>
        <w:rPr>
          <w:sz w:val="22"/>
          <w:szCs w:val="22"/>
        </w:rPr>
      </w:pPr>
      <w:r w:rsidDel="00000000" w:rsidR="00000000" w:rsidRPr="00000000">
        <w:rPr>
          <w:sz w:val="22"/>
          <w:szCs w:val="22"/>
          <w:rtl w:val="0"/>
        </w:rPr>
        <w:t xml:space="preserve">A few findings from the data directly shaped design decisions. The ad-supported tier recorded negative gross profits in five quarters, which made the zero-reference line on the GP chart essential. ARPU has declined 22% from its 2017 peak despite strong user growth, which is why the ARPU trend line includes a linear trendline to show the structural direction. R&amp;D is the only cost growing faster than revenue, which is only visible in the ratio lines chart — the stacked bar alone would not show it. And the Premium-to-Ad user ratio has stayed at roughly 40/60 for the entire six-year period, which is one of the most important strategic findings in the dataset.</w:t>
      </w:r>
    </w:p>
    <w:p w:rsidR="00000000" w:rsidDel="00000000" w:rsidP="00000000" w:rsidRDefault="00000000" w:rsidRPr="00000000" w14:paraId="00000037">
      <w:pPr>
        <w:spacing w:after="80" w:before="80" w:lineRule="auto"/>
        <w:rPr>
          <w:sz w:val="22"/>
          <w:szCs w:val="22"/>
        </w:rPr>
      </w:pPr>
      <w:r w:rsidDel="00000000" w:rsidR="00000000" w:rsidRPr="00000000">
        <w:rPr>
          <w:rtl w:val="0"/>
        </w:rPr>
      </w:r>
    </w:p>
    <w:p w:rsidR="00000000" w:rsidDel="00000000" w:rsidP="00000000" w:rsidRDefault="00000000" w:rsidRPr="00000000" w14:paraId="00000038">
      <w:pPr>
        <w:spacing w:after="80" w:before="80" w:lineRule="auto"/>
        <w:rPr>
          <w:sz w:val="22"/>
          <w:szCs w:val="22"/>
        </w:rPr>
      </w:pPr>
      <w:r w:rsidDel="00000000" w:rsidR="00000000" w:rsidRPr="00000000">
        <w:rPr>
          <w:rtl w:val="0"/>
        </w:rPr>
      </w:r>
    </w:p>
    <w:p w:rsidR="00000000" w:rsidDel="00000000" w:rsidP="00000000" w:rsidRDefault="00000000" w:rsidRPr="00000000" w14:paraId="00000039">
      <w:pPr>
        <w:spacing w:after="80" w:before="80" w:lineRule="auto"/>
        <w:rPr>
          <w:sz w:val="22"/>
          <w:szCs w:val="22"/>
        </w:rPr>
      </w:pPr>
      <w:r w:rsidDel="00000000" w:rsidR="00000000" w:rsidRPr="00000000">
        <w:rPr>
          <w:sz w:val="22"/>
          <w:szCs w:val="22"/>
          <w:rtl w:val="0"/>
        </w:rPr>
        <w:t xml:space="preserve">Ubiratan Gonzaga e Silva - DA-Sep2025</w:t>
      </w:r>
    </w:p>
    <w:p w:rsidR="00000000" w:rsidDel="00000000" w:rsidP="00000000" w:rsidRDefault="00000000" w:rsidRPr="00000000" w14:paraId="0000003A">
      <w:pPr>
        <w:spacing w:before="160" w:lineRule="auto"/>
        <w:rPr>
          <w:sz w:val="22"/>
          <w:szCs w:val="22"/>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ucid.app/lucidchart/b9e7ab99-70ec-4988-8502-7fa9c40351a2/edit?invitationId=inv_60b2b691-c4bc-4564-b859-2fe461ef6edc&amp;page=0_0#" TargetMode="External"/><Relationship Id="rId7" Type="http://schemas.openxmlformats.org/officeDocument/2006/relationships/hyperlink" Target="https://www.canva.com/design/DAHC7yAVhNs/SBdU5lY2J0TsugsjOmA-tg/edit?utm_content=DAHC7yAVhNs&amp;utm_campaign=designshare&amp;utm_medium=link2&amp;utm_source=sharebutt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