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7E22CE"/>
          <w:sz w:val="56"/>
          <w:szCs w:val="56"/>
        </w:rPr>
        <w:t xml:space="preserve">RESEARCH SYNTHESIST</w:t>
      </w:r>
    </w:p>
    <w:p>
      <w:pPr>
        <w:spacing w:after="300"/>
      </w:pPr>
      <w:r>
        <w:rPr>
          <w:color w:val="1D1B26"/>
          <w:sz w:val="30"/>
          <w:szCs w:val="30"/>
        </w:rPr>
        <w:t xml:space="preserve">An AI research agent that finds, grades and summarises evidence — with honest confidence levels</w:t>
      </w:r>
    </w:p>
    <w:p>
      <w:pPr>
        <w:pBdr>
          <w:bottom w:val="single" w:color="7E22CE" w:sz="12" w:space="6"/>
        </w:pBdr>
        <w:spacing w:after="300"/>
      </w:pPr>
    </w:p>
    <w:p>
      <w:pPr>
        <w:spacing w:after="120" w:line="300"/>
      </w:pPr>
      <w:r>
        <w:rPr>
          <w:color w:val="6B6880"/>
          <w:sz w:val="24"/>
          <w:szCs w:val="24"/>
        </w:rPr>
        <w:t xml:space="preserve">Management overview and proposal</w:t>
      </w:r>
    </w:p>
    <w:p>
      <w:pPr>
        <w:spacing w:after="120" w:line="300"/>
      </w:pPr>
      <w:r>
        <w:rPr>
          <w:color w:val="6B6880"/>
          <w:sz w:val="24"/>
          <w:szCs w:val="24"/>
        </w:rPr>
        <w:t xml:space="preserve">October 2026</w:t>
      </w:r>
    </w:p>
    <w:p>
      <w:pPr>
        <w:spacing w:after="120" w:line="300"/>
      </w:pPr>
      <w:r>
        <w:rPr>
          <w:color w:val="6B6880"/>
          <w:sz w:val="24"/>
          <w:szCs w:val="24"/>
        </w:rPr>
        <w:t xml:space="preserve">Prepared by: ____________________</w:t>
      </w:r>
    </w:p>
    <w:p>
      <w:pPr>
        <w:spacing w:before="2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E22CE" w:sz="24"/>
              <w:bottom w:val="none" w:color="FFFFFF" w:sz="0"/>
              <w:right w:val="none" w:color="FFFFFF" w:sz="0"/>
            </w:tcBorders>
            <w:shd w:fill="F3E8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7E22CE"/>
              </w:rPr>
              <w:t xml:space="preserve">In one sentence</w:t>
            </w:r>
          </w:p>
          <w:p>
            <w:pPr>
              <w:spacing w:line="290"/>
            </w:pPr>
            <w:r>
              <w:t xml:space="preserve">Ask a research question in plain English; in about a minute the agent searches five scholarly databases, removes duplicates, grades every source, and produces a cited report that says clearly what is well-established, what is disputed, and what is still unknown.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300"/>
      </w:pPr>
      <w:r>
        <w:t xml:space="preserve">Teams spend hours searching papers, articles and documentation to answer questions such as “Does approach X actually work better than Y?”. Results are often based on whichever sources were found first, and confident-sounding claims are repeated without checking where they came from.</w:t>
      </w:r>
    </w:p>
    <w:p>
      <w:pPr>
        <w:spacing w:after="120" w:line="300"/>
      </w:pPr>
      <w:r>
        <w:t xml:space="preserve">Research Synthesist is an internally built AI agent that automates the search and first-pass review, while keeping every step visible and auditable. It is designed to be skeptical by default: it counts how many independent sources support a claim, not how many times the claim is repeated.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 local web application (Python backend + browser interface) that runs on a laptop or internal server.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Searches, de-duplicates, grades, synthesises and reports on research evidence, with clickable citations.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Cost to run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Free-tier services only (Groq AI model and five free academic databases). No paid licences required.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Working application. 34 automated tests pass; live searches against real databases verified.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Ask</w:t>
            </w:r>
          </w:p>
        </w:tc>
        <w:tc>
          <w:tcPr>
            <w:tcW w:type="dxa" w:w="6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Approval for a 4–6 week pilot with one or two teams (see Section 9).</w:t>
            </w:r>
          </w:p>
        </w:tc>
      </w:tr>
    </w:tbl>
    <w:p>
      <w:pPr>
        <w:pStyle w:val="Heading1"/>
      </w:pPr>
      <w:r>
        <w:t xml:space="preserve">2. The problem we are solving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Time: </w:t>
      </w:r>
      <w:r>
        <w:t xml:space="preserve">manual literature searches across several databases take hours per question.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Inconsistency: </w:t>
      </w:r>
      <w:r>
        <w:t xml:space="preserve">different people search differently, so conclusions are hard to compare or repeat.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False confidence: </w:t>
      </w:r>
      <w:r>
        <w:t xml:space="preserve">ten articles quoting the same single study look like strong consensus but are really one data point.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Hidden gaps: </w:t>
      </w:r>
      <w:r>
        <w:t xml:space="preserve">searches rarely record what was not found, so missing evidence is mistaken for a settled answer.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Generic AI chatbots: </w:t>
      </w:r>
      <w:r>
        <w:t xml:space="preserve">can invent citations and do not show where an answer came from.</w:t>
      </w:r>
    </w:p>
    <w:p>
      <w:pPr>
        <w:pStyle w:val="Heading1"/>
      </w:pPr>
      <w:r>
        <w:t xml:space="preserve">3. How the agent works</w:t>
      </w:r>
    </w:p>
    <w:p>
      <w:pPr>
        <w:spacing w:after="120" w:line="300"/>
      </w:pPr>
      <w:r>
        <w:t xml:space="preserve">Each research request moves through six visible stages. The user can watch progress live; nothing is shown as complete until it actually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does it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1. Frame the question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Identifies subject, comparison, outcome and scope; suggests 3–5 search queries the user can edit.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AI (with a keyword fallback)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2. Search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Queries OpenAlex, Semantic Scholar, arXiv, Europe PMC and Crossref in parallel. Optional web search via Tavily.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Search providers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3. De-duplicate &amp; screen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Merges the same paper found in several places; applies date range, source types and inclusion/exclusion terms. Every exclusion keeps its reason.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Fixed rules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4. Evaluate sources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Grades each source (original research, review, preprint, web), checks peer-review status, method quality and whether it depends on other sources.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Rules + AI extraction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5. Synthesise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Groups findings into Well-established / Contested / Single-study / Evidence gaps, then an automatic checker removes unsupported claims.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AI + validator</w:t>
            </w:r>
          </w:p>
        </w:tc>
      </w:tr>
      <w:tr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6. Report</w:t>
            </w:r>
          </w:p>
        </w:tc>
        <w:tc>
          <w:tcPr>
            <w:tcW w:type="dxa" w:w="48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Produces a 9-section report with citations, exportable to Markdown or PDF.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Automatic</w:t>
            </w:r>
          </w:p>
        </w:tc>
      </w:tr>
    </w:tbl>
    <w:p>
      <w:pPr>
        <w:pStyle w:val="Heading1"/>
      </w:pPr>
      <w:r>
        <w:t xml:space="preserve">4. Business benefits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Faster answers: </w:t>
      </w:r>
      <w:r>
        <w:t xml:space="preserve">a first-pass evidence review that typically takes hours of manual searching is produced in about a minute.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Better decisions: </w:t>
      </w:r>
      <w:r>
        <w:t xml:space="preserve">reports separate solid evidence from weak or disputed evidence, reducing the risk of acting on a single unreplicated study.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Auditability: </w:t>
      </w:r>
      <w:r>
        <w:t xml:space="preserve">every report records which databases were searched, which terms, which date range, what was excluded and why.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Reusable knowledge: </w:t>
      </w:r>
      <w:r>
        <w:t xml:space="preserve">all sessions are saved and searchable; a topic can be refreshed later to find newly published 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Low cost and low lock-in: </w:t>
      </w:r>
      <w:r>
        <w:t xml:space="preserve">uses free services; the AI model and search providers can be swapped from the Settings page.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Data stays local: </w:t>
      </w:r>
      <w:r>
        <w:t xml:space="preserve">sessions and reports are stored in a local database on the machine running the app.</w:t>
      </w:r>
    </w:p>
    <w:p>
      <w:pPr>
        <w:pStyle w:val="Heading1"/>
      </w:pPr>
      <w:r>
        <w:t xml:space="preserve">5. Built-in safeguards (why the output can be trusted)</w:t>
      </w:r>
    </w:p>
    <w:p>
      <w:pPr>
        <w:spacing w:after="120" w:line="300"/>
      </w:pPr>
      <w:r>
        <w:t xml:space="preserve">The main risk with AI research tools is confident, made-up answers. The agent has explicit controls against this: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Safeguard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prevents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Citations must point to sources that were actually retrieved; others are removed and the removal is disclosed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Invented references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“Well-established” requires at least two independent, reasonably strong sources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Treating repetition as consensus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Reviews that cite other included studies are marked as not independent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Double-counting the same evidence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Sample sizes extracted by the AI are discarded unless the number appears in the source text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Fabricated statistics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Confidence (Low / Moderate / High) is capped by rules, e.g. too few sources or mostly non-peer-reviewed sources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Overstated certainty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Labels distinguish retrieved facts, AI-extracted details and AI interpretation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Mixing facts with opinion</w:t>
            </w:r>
          </w:p>
        </w:tc>
      </w:tr>
      <w:tr>
        <w:tc>
          <w:tcPr>
            <w:tcW w:type="dxa" w:w="6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Failed searches and rate limits are shown as coverage gaps in the report</w:t>
            </w:r>
          </w:p>
        </w:tc>
        <w:tc>
          <w:tcPr>
            <w:tcW w:type="dxa" w:w="30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Silent, incomplete results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E22CE" w:sz="24"/>
              <w:bottom w:val="none" w:color="FFFFFF" w:sz="0"/>
              <w:right w:val="none" w:color="FFFFFF" w:sz="0"/>
            </w:tcBorders>
            <w:shd w:fill="F3E8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7E22CE"/>
              </w:rPr>
              <w:t xml:space="preserve">Honest positioning</w:t>
            </w:r>
          </w:p>
          <w:p>
            <w:pPr>
              <w:spacing w:line="290"/>
            </w:pPr>
            <w:r>
              <w:t xml:space="preserve">The report states that this is a structured, auditable literature scan — not a formal PRISMA systematic review. It is a decision-support tool that accelerates expert work, not a replacement for expert judgement.</w:t>
            </w:r>
          </w:p>
        </w:tc>
      </w:tr>
    </w:tbl>
    <w:p>
      <w:pPr>
        <w:pStyle w:val="Heading1"/>
      </w:pPr>
      <w:r>
        <w:t xml:space="preserve">6. Demonstration flow (5 minutes)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Dashboard: </w:t>
      </w:r>
      <w:r>
        <w:t xml:space="preserve">show recent sessions and saved reports.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New research: </w:t>
      </w:r>
      <w:r>
        <w:t xml:space="preserve">enter a question, click “Analyze question”, show the suggested queries and filters, then start.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Progress: </w:t>
      </w:r>
      <w:r>
        <w:t xml:space="preserve">watch the six stages complete live, including any database that failed or rate-limited.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Source explorer: </w:t>
      </w:r>
      <w:r>
        <w:t xml:space="preserve">open a paper to show its grade, peer-review status, duplicates merged and why it was included.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Evidence summary: </w:t>
      </w:r>
      <w:r>
        <w:t xml:space="preserve">show established vs contested findings, evidence gaps and the confidence level with its reasoning.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Report: </w:t>
      </w:r>
      <w:r>
        <w:t xml:space="preserve">download the PDF and click a citation to open the original paper.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Follow-up Q&amp;A: </w:t>
      </w:r>
      <w:r>
        <w:t xml:space="preserve">ask a follow-up question answered only from the collected sources.</w:t>
      </w:r>
    </w:p>
    <w:p>
      <w:pPr>
        <w:pStyle w:val="Heading1"/>
      </w:pPr>
      <w:r>
        <w:t xml:space="preserve">7. Technology and running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Python (FastAPI) backend, browser interface, SQLite database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AI model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Groq API (default model Llama 3.3 70B, configurable)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 tier; rate-limited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Research databases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OpenAlex, Semantic Scholar, arXiv, Europe PMC, Crossref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Optional web search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Tavily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 tier (~1,000 searches/month)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Hosting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Runs on a laptop; can be moved to an internal server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Existing infrastructure</w:t>
            </w:r>
          </w:p>
        </w:tc>
      </w:tr>
      <w:tr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Security</w:t>
            </w:r>
          </w:p>
        </w:tc>
        <w:tc>
          <w:tcPr>
            <w:tcW w:type="dxa" w:w="46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API keys stay on the server in a .env file; never shown in the browser or logs</w:t>
            </w:r>
          </w:p>
        </w:tc>
        <w:tc>
          <w:tcPr>
            <w:tcW w:type="dxa" w:w="22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8. Advantages and limitations</w:t>
      </w:r>
    </w:p>
    <w:p>
      <w:pPr>
        <w:pStyle w:val="Heading2"/>
      </w:pPr>
      <w:r>
        <w:t xml:space="preserve">Advantages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Searches five databases at once and records exactly what was searched.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Grades evidence quality instead of counting search hits.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Every claim is traceable to a real, clickable source.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Clearly reports disagreements, evidence gaps and failed searches.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Free to run, local data storage, configurable AI model.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Still useful without the AI key: search, de-duplication and grading work on their own.</w:t>
      </w:r>
    </w:p>
    <w:p>
      <w:pPr>
        <w:pStyle w:val="Heading2"/>
      </w:pPr>
      <w:r>
        <w:t xml:space="preserve">Limitations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Reads abstracts and metadata, not full papers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Method details can be missed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Experts verify key sources; reports flag this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Not a formal systematic review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Not suitable as sole basis for regulatory or clinical decisions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Position as first-pass decision support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Peer-review status from database records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Not independently verified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Clearly labelled in every report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Free-tier rate limits (Groq, Semantic Scholar)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Slower runs or missing results from one database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Free API keys; gaps reported; paid tier if adopted widely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Only top results per query are retrieved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Niche or paywalled sources may be missed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Edit queries; add sources manually by URL or upload</w:t>
            </w:r>
          </w:p>
        </w:tc>
      </w:tr>
      <w:tr>
        <w:tc>
          <w:tcPr>
            <w:tcW w:type="dxa" w:w="3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AI synthesis not yet validated end-to-end with a live Groq key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Real-world output quality still to be confirmed</w:t>
            </w:r>
          </w:p>
        </w:tc>
        <w:tc>
          <w:tcPr>
            <w:tcW w:type="dxa" w:w="3013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Part of the pilot (Section 9)</w:t>
            </w:r>
          </w:p>
        </w:tc>
      </w:tr>
    </w:tbl>
    <w:p>
      <w:pPr>
        <w:pStyle w:val="Heading1"/>
      </w:pPr>
      <w:r>
        <w:t xml:space="preserve">9. Recommendation and next steps</w:t>
      </w:r>
    </w:p>
    <w:p>
      <w:pPr>
        <w:spacing w:after="120" w:line="300"/>
      </w:pPr>
      <w:r>
        <w:t xml:space="preserve">We recommend a short, low-cost pilot to measure real value before wider rollout.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26"/>
        <w:gridCol w:w="2000"/>
      </w:tblGrid>
      <w:tr>
        <w:trPr>
          <w:tblHeader/>
        </w:trPr>
        <w:tc>
          <w:tcPr>
            <w:tcW w:type="dxa" w:w="9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1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7E22C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9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1</w:t>
            </w:r>
          </w:p>
        </w:tc>
        <w:tc>
          <w:tcPr>
            <w:tcW w:type="dxa" w:w="61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Configure Groq and Semantic Scholar free keys; validate a full live run</w:t>
            </w:r>
          </w:p>
        </w:tc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9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2</w:t>
            </w:r>
          </w:p>
        </w:tc>
        <w:tc>
          <w:tcPr>
            <w:tcW w:type="dxa" w:w="61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Pilot with 1–2 teams on 10–15 real research questions</w:t>
            </w:r>
          </w:p>
        </w:tc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Weeks 2–4</w:t>
            </w:r>
          </w:p>
        </w:tc>
      </w:tr>
      <w:tr>
        <w:tc>
          <w:tcPr>
            <w:tcW w:type="dxa" w:w="9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3</w:t>
            </w:r>
          </w:p>
        </w:tc>
        <w:tc>
          <w:tcPr>
            <w:tcW w:type="dxa" w:w="61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Compare against manual reviews: time saved, sources found, accuracy of conclusions</w:t>
            </w:r>
          </w:p>
        </w:tc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Weeks 4–5</w:t>
            </w:r>
          </w:p>
        </w:tc>
      </w:tr>
      <w:tr>
        <w:tc>
          <w:tcPr>
            <w:tcW w:type="dxa" w:w="9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4</w:t>
            </w:r>
          </w:p>
        </w:tc>
        <w:tc>
          <w:tcPr>
            <w:tcW w:type="dxa" w:w="6126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Decide: wider rollout, internal server hosting, paid tiers or full-text analysis</w:t>
            </w:r>
          </w:p>
        </w:tc>
        <w:tc>
          <w:tcPr>
            <w:tcW w:type="dxa" w:w="2000"/>
            <w:tcBorders>
              <w:top w:val="single" w:color="DDD8E8" w:sz="4"/>
              <w:left w:val="single" w:color="DDD8E8" w:sz="4"/>
              <w:bottom w:val="single" w:color="DDD8E8" w:sz="4"/>
              <w:right w:val="single" w:color="DDD8E8" w:sz="4"/>
            </w:tcBorders>
            <w:shd w:fill="F4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D1B26"/>
                <w:sz w:val="19"/>
                <w:szCs w:val="19"/>
              </w:rPr>
              <w:t xml:space="preserve">Week 6</w:t>
            </w:r>
          </w:p>
        </w:tc>
      </w:tr>
    </w:tbl>
    <w:p>
      <w:pPr>
        <w:pStyle w:val="Heading2"/>
      </w:pPr>
      <w:r>
        <w:t xml:space="preserve">Decision requested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Approve a 4–6 week pilot.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Nominate one or two pilot teams and a business owner.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Agree success measures: time saved, reviewer agreement, user satisfaction.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80"/>
        <w:sz w:val="16"/>
        <w:szCs w:val="16"/>
      </w:rPr>
      <w:t xml:space="preserve">Page </w:t>
    </w:r>
    <w:r>
      <w:rPr>
        <w:color w:val="6B6880"/>
        <w:sz w:val="16"/>
        <w:szCs w:val="16"/>
      </w:rPr>
      <w:fldChar w:fldCharType="begin"/>
    </w:r>
    <w:r>
      <w:rPr>
        <w:color w:val="6B6880"/>
        <w:sz w:val="16"/>
        <w:szCs w:val="16"/>
      </w:rPr>
      <w:instrText xml:space="preserve">PAGE</w:instrText>
    </w:r>
    <w:r>
      <w:rPr>
        <w:color w:val="6B6880"/>
        <w:sz w:val="16"/>
        <w:szCs w:val="16"/>
      </w:rPr>
      <w:fldChar w:fldCharType="separate"/>
    </w:r>
    <w:r>
      <w:rPr>
        <w:color w:val="6B6880"/>
        <w:sz w:val="16"/>
        <w:szCs w:val="16"/>
      </w:rPr>
      <w:fldChar w:fldCharType="end"/>
    </w:r>
    <w:r>
      <w:rPr>
        <w:color w:val="6B6880"/>
        <w:sz w:val="16"/>
        <w:szCs w:val="16"/>
      </w:rPr>
      <w:t xml:space="preserve"> of </w:t>
    </w:r>
    <w:r>
      <w:rPr>
        <w:color w:val="6B6880"/>
        <w:sz w:val="16"/>
        <w:szCs w:val="16"/>
      </w:rPr>
      <w:fldChar w:fldCharType="begin"/>
    </w:r>
    <w:r>
      <w:rPr>
        <w:color w:val="6B6880"/>
        <w:sz w:val="16"/>
        <w:szCs w:val="16"/>
      </w:rPr>
      <w:instrText xml:space="preserve">NUMPAGES</w:instrText>
    </w:r>
    <w:r>
      <w:rPr>
        <w:color w:val="6B6880"/>
        <w:sz w:val="16"/>
        <w:szCs w:val="16"/>
      </w:rPr>
      <w:fldChar w:fldCharType="separate"/>
    </w:r>
    <w:r>
      <w:rPr>
        <w:color w:val="6B68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880"/>
        <w:sz w:val="16"/>
        <w:szCs w:val="16"/>
      </w:rPr>
      <w:t xml:space="preserve">Research Synthesist — Management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B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7E22C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1D1B2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Synthesist – Management Overview</dc:title>
  <dc:creator>Research Synthesist</dc:creator>
  <cp:lastModifiedBy>Un-named</cp:lastModifiedBy>
  <cp:revision>1</cp:revision>
  <dcterms:created xsi:type="dcterms:W3CDTF">2026-10-22T11:50:27.669Z</dcterms:created>
  <dcterms:modified xsi:type="dcterms:W3CDTF">2026-10-22T11:50:27.670Z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