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1F3864"/>
          <w:sz w:val="36"/>
          <w:szCs w:val="36"/>
        </w:rPr>
        <w:t xml:space="preserve">Event Liability Insurance — Options &amp; Priorities</w:t>
      </w:r>
    </w:p>
    <w:p>
      <w:pPr>
        <w:spacing w:after="60"/>
        <w:jc w:val="center"/>
      </w:pPr>
      <w:r>
        <w:rPr>
          <w:rFonts w:ascii="Georgia" w:cs="Georgia" w:eastAsia="Georgia" w:hAnsi="Georgia"/>
          <w:color w:val="444444"/>
          <w:sz w:val="23"/>
          <w:szCs w:val="23"/>
        </w:rPr>
        <w:t xml:space="preserve">The 1140-a Company (Massachusetts non-profit) · Comedy double-feature</w:t>
      </w:r>
    </w:p>
    <w:p>
      <w:pPr>
        <w:pBdr>
          <w:bottom w:val="single" w:color="1F3864" w:sz="6" w:space="8"/>
        </w:pBdr>
        <w:spacing w:after="320"/>
        <w:jc w:val="center"/>
      </w:pPr>
      <w:r>
        <w:rPr>
          <w:rFonts w:ascii="Georgia" w:cs="Georgia" w:eastAsia="Georgia" w:hAnsi="Georgia"/>
          <w:color w:val="444444"/>
          <w:sz w:val="23"/>
          <w:szCs w:val="23"/>
        </w:rPr>
        <w:t xml:space="preserve">Tilden Arts Center Auditorium, Cape Cod Community College · Saturday 29 August 2026 · 4-hour licence</w:t>
      </w:r>
    </w:p>
    <w:p>
      <w:pPr>
        <w:pStyle w:val="Heading1"/>
        <w:spacing w:after="160" w:before="320"/>
      </w:pPr>
      <w:r>
        <w:rPr>
          <w:rFonts w:ascii="Georgia" w:cs="Georgia" w:eastAsia="Georgia" w:hAnsi="Georgia"/>
          <w:b/>
          <w:bCs/>
          <w:color w:val="1F3864"/>
          <w:sz w:val="30"/>
          <w:szCs w:val="30"/>
        </w:rPr>
        <w:t xml:space="preserve">1. What clause 10 actually requires</w:t>
      </w:r>
    </w:p>
    <w:p>
      <w:pPr>
        <w:spacing w:after="160" w:line="276"/>
      </w:pPr>
      <w:r>
        <w:rPr>
          <w:rFonts w:ascii="Georgia" w:cs="Georgia" w:eastAsia="Georgia" w:hAnsi="Georgia"/>
          <w:sz w:val="22"/>
          <w:szCs w:val="22"/>
        </w:rPr>
        <w:t xml:space="preserve">Commercial general liability cover for personal injury, death and property damage, at minimum $1,000,000 per occurrence and $3,000,000 aggregate, in force for the licence term, with the College carried on the policy and at least thirty days' written notice before any termination, suspension or modification of cover. The indemnity paragraph sits alongside the insurance requirement and is not something insurance shopping changes — it is a contractual promise the 1140-a Company makes regardless.</w:t>
      </w:r>
    </w:p>
    <w:p>
      <w:pPr>
        <w:spacing w:after="160" w:line="276"/>
      </w:pPr>
      <w:r>
        <w:rPr>
          <w:rFonts w:ascii="Georgia" w:cs="Georgia" w:eastAsia="Georgia" w:hAnsi="Georgia"/>
          <w:sz w:val="22"/>
          <w:szCs w:val="22"/>
        </w:rPr>
        <w:t xml:space="preserve">Three features of this clause are non-standard for one-day event policies, and they determine which providers qualify:</w:t>
      </w:r>
    </w:p>
    <w:p>
      <w:pPr>
        <w:pStyle w:val="ListParagraph"/>
        <w:numPr>
          <w:ilvl w:val="0"/>
          <w:numId w:val="2"/>
        </w:numPr>
        <w:spacing w:after="100" w:line="276"/>
      </w:pPr>
      <w:r>
        <w:rPr>
          <w:rFonts w:ascii="Georgia" w:cs="Georgia" w:eastAsia="Georgia" w:hAnsi="Georgia"/>
          <w:b/>
          <w:bCs/>
          <w:sz w:val="22"/>
          <w:szCs w:val="22"/>
        </w:rPr>
        <w:t xml:space="preserve">The $3,000,000 aggregate. </w:t>
      </w:r>
      <w:r>
        <w:rPr>
          <w:rFonts w:ascii="Georgia" w:cs="Georgia" w:eastAsia="Georgia" w:hAnsi="Georgia"/>
          <w:sz w:val="22"/>
          <w:szCs w:val="22"/>
        </w:rPr>
        <w:t xml:space="preserve">The default limit sold by nearly every instant-online event insurer is $1M per occurrence / $2M aggregate. You must either (a) select a higher aggregate at quote time (TheEventHelper, SpecialEventInsurance.com and the agent-serviced markets all offer this), or (b) ask the College in writing whether $1M/$2M satisfies them. Colleges accept $2M aggregates surprisingly often; one email could reduce the premium.</w:t>
      </w:r>
    </w:p>
    <w:p>
      <w:pPr>
        <w:pStyle w:val="ListParagraph"/>
        <w:numPr>
          <w:ilvl w:val="0"/>
          <w:numId w:val="2"/>
        </w:numPr>
        <w:spacing w:after="100" w:line="276"/>
      </w:pPr>
      <w:r>
        <w:rPr>
          <w:rFonts w:ascii="Georgia" w:cs="Georgia" w:eastAsia="Georgia" w:hAnsi="Georgia"/>
          <w:b/>
          <w:bCs/>
          <w:sz w:val="22"/>
          <w:szCs w:val="22"/>
        </w:rPr>
        <w:t xml:space="preserve">“Named-insured” wording. </w:t>
      </w:r>
      <w:r>
        <w:rPr>
          <w:rFonts w:ascii="Georgia" w:cs="Georgia" w:eastAsia="Georgia" w:hAnsi="Georgia"/>
          <w:sz w:val="22"/>
          <w:szCs w:val="22"/>
        </w:rPr>
        <w:t xml:space="preserve">Standard market practice is to add the venue as an additional insured, not a named insured. Online products issue additional-insured certificates instantly; genuinely naming the College on your policy is unusual and most products cannot do it. Confirm with the College that an additional-insured endorsement satisfies clause 10 — in practice it almost always does, and the clause's own drafting (“ten (30) days”) suggests it was not lawyered to the letter.</w:t>
      </w:r>
    </w:p>
    <w:p>
      <w:pPr>
        <w:pStyle w:val="ListParagraph"/>
        <w:numPr>
          <w:ilvl w:val="0"/>
          <w:numId w:val="2"/>
        </w:numPr>
        <w:spacing w:after="100" w:line="276"/>
      </w:pPr>
      <w:r>
        <w:rPr>
          <w:rFonts w:ascii="Georgia" w:cs="Georgia" w:eastAsia="Georgia" w:hAnsi="Georgia"/>
          <w:b/>
          <w:bCs/>
          <w:sz w:val="22"/>
          <w:szCs w:val="22"/>
        </w:rPr>
        <w:t xml:space="preserve">30 days' notice of cancellation. </w:t>
      </w:r>
      <w:r>
        <w:rPr>
          <w:rFonts w:ascii="Georgia" w:cs="Georgia" w:eastAsia="Georgia" w:hAnsi="Georgia"/>
          <w:sz w:val="22"/>
          <w:szCs w:val="22"/>
        </w:rPr>
        <w:t xml:space="preserve">Some instant products only certify 10 days' notice, or notice “per policy terms”. Check the certificate wording before binding; the agent-serviced routes (K&amp;K, a local agency) can endorse this precisely.</w:t>
      </w:r>
    </w:p>
    <w:p>
      <w:pPr>
        <w:pStyle w:val="Heading1"/>
        <w:spacing w:after="160" w:before="320"/>
      </w:pPr>
      <w:r>
        <w:rPr>
          <w:rFonts w:ascii="Georgia" w:cs="Georgia" w:eastAsia="Georgia" w:hAnsi="Georgia"/>
          <w:b/>
          <w:bCs/>
          <w:color w:val="1F3864"/>
          <w:sz w:val="30"/>
          <w:szCs w:val="30"/>
        </w:rPr>
        <w:t xml:space="preserve">2. Providers, prioritised by price and fit</w:t>
      </w:r>
    </w:p>
    <w:p>
      <w:pPr>
        <w:spacing w:after="160" w:line="276"/>
      </w:pPr>
      <w:r>
        <w:rPr>
          <w:rFonts w:ascii="Georgia" w:cs="Georgia" w:eastAsia="Georgia" w:hAnsi="Georgia"/>
          <w:sz w:val="22"/>
          <w:szCs w:val="22"/>
        </w:rPr>
        <w:t xml:space="preserve">Premiums marked * are estimates for a single-day, ~650-seat indoor ticketed stand-up comedy performance, no alcohol sales, based on published rate guidance as of July 2026. A live quote takes each of these sites under ten minutes. If alcohol is sold or served, add liquor liability and expect the premium to rise.</w:t>
      </w:r>
    </w:p>
    <w:tbl>
      <w:tblPr>
        <w:tblW w:type="dxa" w:w="9360"/>
        <w:tblBorders>
          <w:top w:val="single" w:color="9CB3D4" w:sz="4"/>
          <w:left w:val="single" w:color="9CB3D4" w:sz="4"/>
          <w:bottom w:val="single" w:color="9CB3D4" w:sz="4"/>
          <w:right w:val="single" w:color="9CB3D4" w:sz="4"/>
          <w:insideH w:val="single" w:color="C9D6EA" w:sz="4"/>
          <w:insideV w:val="single" w:color="C9D6EA" w:sz="4"/>
        </w:tblBorders>
      </w:tblPr>
      <w:tblGrid>
        <w:gridCol w:w="1750"/>
        <w:gridCol w:w="1250"/>
        <w:gridCol w:w="1300"/>
        <w:gridCol w:w="1900"/>
        <w:gridCol w:w="3160"/>
      </w:tblGrid>
      <w:tr>
        <w:trPr>
          <w:tblHeader/>
        </w:trPr>
        <w:tc>
          <w:tcPr>
            <w:tcW w:type="dxa" w:w="1750"/>
            <w:shd w:fill="DCE6F1" w:val="clear"/>
            <w:tcMar>
              <w:top w:type="dxa" w:w="80"/>
              <w:left w:type="dxa" w:w="100"/>
              <w:bottom w:type="dxa" w:w="80"/>
              <w:right w:type="dxa" w:w="100"/>
            </w:tcMar>
          </w:tcPr>
          <w:p>
            <w:pPr>
              <w:spacing w:after="0" w:line="240"/>
            </w:pPr>
            <w:r>
              <w:rPr>
                <w:rFonts w:ascii="Georgia" w:cs="Georgia" w:eastAsia="Georgia" w:hAnsi="Georgia"/>
                <w:b/>
                <w:bCs/>
                <w:sz w:val="19"/>
                <w:szCs w:val="19"/>
              </w:rPr>
              <w:t xml:space="preserve">Provider</w:t>
            </w:r>
          </w:p>
        </w:tc>
        <w:tc>
          <w:tcPr>
            <w:tcW w:type="dxa" w:w="1250"/>
            <w:shd w:fill="DCE6F1" w:val="clear"/>
            <w:tcMar>
              <w:top w:type="dxa" w:w="80"/>
              <w:left w:type="dxa" w:w="100"/>
              <w:bottom w:type="dxa" w:w="80"/>
              <w:right w:type="dxa" w:w="100"/>
            </w:tcMar>
          </w:tcPr>
          <w:p>
            <w:pPr>
              <w:spacing w:after="0" w:line="240"/>
            </w:pPr>
            <w:r>
              <w:rPr>
                <w:rFonts w:ascii="Georgia" w:cs="Georgia" w:eastAsia="Georgia" w:hAnsi="Georgia"/>
                <w:b/>
                <w:bCs/>
                <w:sz w:val="19"/>
                <w:szCs w:val="19"/>
              </w:rPr>
              <w:t xml:space="preserve">Est. premium*</w:t>
            </w:r>
          </w:p>
        </w:tc>
        <w:tc>
          <w:tcPr>
            <w:tcW w:type="dxa" w:w="1300"/>
            <w:shd w:fill="DCE6F1" w:val="clear"/>
            <w:tcMar>
              <w:top w:type="dxa" w:w="80"/>
              <w:left w:type="dxa" w:w="100"/>
              <w:bottom w:type="dxa" w:w="80"/>
              <w:right w:type="dxa" w:w="100"/>
            </w:tcMar>
          </w:tcPr>
          <w:p>
            <w:pPr>
              <w:spacing w:after="0" w:line="240"/>
            </w:pPr>
            <w:r>
              <w:rPr>
                <w:rFonts w:ascii="Georgia" w:cs="Georgia" w:eastAsia="Georgia" w:hAnsi="Georgia"/>
                <w:b/>
                <w:bCs/>
                <w:sz w:val="19"/>
                <w:szCs w:val="19"/>
              </w:rPr>
              <w:t xml:space="preserve">$3M aggregate?</w:t>
            </w:r>
          </w:p>
        </w:tc>
        <w:tc>
          <w:tcPr>
            <w:tcW w:type="dxa" w:w="1900"/>
            <w:shd w:fill="DCE6F1" w:val="clear"/>
            <w:tcMar>
              <w:top w:type="dxa" w:w="80"/>
              <w:left w:type="dxa" w:w="100"/>
              <w:bottom w:type="dxa" w:w="80"/>
              <w:right w:type="dxa" w:w="100"/>
            </w:tcMar>
          </w:tcPr>
          <w:p>
            <w:pPr>
              <w:spacing w:after="0" w:line="240"/>
            </w:pPr>
            <w:r>
              <w:rPr>
                <w:rFonts w:ascii="Georgia" w:cs="Georgia" w:eastAsia="Georgia" w:hAnsi="Georgia"/>
                <w:b/>
                <w:bCs/>
                <w:sz w:val="19"/>
                <w:szCs w:val="19"/>
              </w:rPr>
              <w:t xml:space="preserve">Payment terms</w:t>
            </w:r>
          </w:p>
        </w:tc>
        <w:tc>
          <w:tcPr>
            <w:tcW w:type="dxa" w:w="3160"/>
            <w:shd w:fill="DCE6F1" w:val="clear"/>
            <w:tcMar>
              <w:top w:type="dxa" w:w="80"/>
              <w:left w:type="dxa" w:w="100"/>
              <w:bottom w:type="dxa" w:w="80"/>
              <w:right w:type="dxa" w:w="100"/>
            </w:tcMar>
          </w:tcPr>
          <w:p>
            <w:pPr>
              <w:spacing w:after="0" w:line="240"/>
            </w:pPr>
            <w:r>
              <w:rPr>
                <w:rFonts w:ascii="Georgia" w:cs="Georgia" w:eastAsia="Georgia" w:hAnsi="Georgia"/>
                <w:b/>
                <w:bCs/>
                <w:sz w:val="19"/>
                <w:szCs w:val="19"/>
              </w:rPr>
              <w:t xml:space="preserve">Notes</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1. CCCC / state TULIP programme (if offered)</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$100–300 (typical)</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Usually configurable</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Ask the Tilden events office first. Tenant-user programmes are pre-approved by the venue, certificate wording is automatic, and pricing is often the lowest available. One email may end the search.</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2. TheEventHelper.com (Evanston / GBLI)</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$150–300</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Yes — selectable aggregate options</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 buy up to day of event</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Strong fit: no deductible, unlimited additional-insured certificates free, instant certificate for the College. Benchmark: 2,500-person concert ≈ $400, so a 649-seat show lands well under that.</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3. SpecialEventInsurance.com</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From $199</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Yes — up to $2M/$5M online</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 buy until day before</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Advertises 500 attendees online; a 649-seat show needs a phone quote (they quote larger events). Guarantees venue acceptance or refund. Free unlimited certificates.</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4. Thimble (concert/event product)</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$150–350</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Higher limits available; confirm $3M</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 instant COI</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Fast, app-based, good for adding the College as additional insured. Confirm the aggregate before binding — default quotes are $1M/$2M.</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5. GatherGuard</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From ~$100–250</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Verify — standard is $1M/$2M</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Frequently the cheapest for straightforward events. Only viable if the College will accept a $2M aggregate, or if a higher aggregate is offered at quote time.</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6. Eventsured</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Custom quote</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Yes, on request</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A++ (A.M. Best) carriers; will custom-price event types not in the standard menu. Worth a quote for comparison.</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7. K&amp;K Insurance (Short-Term Event programme)</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$250–600</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Yes</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Agent-serviced; invoicing sometimes possible</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The specialist for entertainment events up to 3,000 attendees. Slightly dearer, but the most likely to accommodate the exact clause-10 wording (notice-of-cancellation endorsement, non-standard limits).</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8. Local independent agent (e.g. Rogers Gray, Cape Cod)</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$250–500</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Yes</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Agency bill — the only realistic route to being invoiced</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If deferred payment genuinely matters, this is the honest answer: an agency-billed policy can be invoiced with payment terms. Costs more in premium and lead time than the online instant products.</w:t>
            </w:r>
          </w:p>
        </w:tc>
      </w:tr>
      <w:tr>
        <w:tc>
          <w:tcPr>
            <w:tcW w:type="dxa" w:w="17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9. Markel / GEICO / Allstate event products</w:t>
            </w:r>
          </w:p>
        </w:tc>
        <w:tc>
          <w:tcPr>
            <w:tcW w:type="dxa" w:w="125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$75–235 (small events)</w:t>
            </w:r>
          </w:p>
        </w:tc>
        <w:tc>
          <w:tcPr>
            <w:tcW w:type="dxa" w:w="13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No — caps at $2M</w:t>
            </w:r>
          </w:p>
        </w:tc>
        <w:tc>
          <w:tcPr>
            <w:tcW w:type="dxa" w:w="190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Card at purchase</w:t>
            </w:r>
          </w:p>
        </w:tc>
        <w:tc>
          <w:tcPr>
            <w:tcW w:type="dxa" w:w="3160"/>
            <w:tcMar>
              <w:top w:type="dxa" w:w="80"/>
              <w:left w:type="dxa" w:w="100"/>
              <w:bottom w:type="dxa" w:w="80"/>
              <w:right w:type="dxa" w:w="100"/>
            </w:tcMar>
          </w:tcPr>
          <w:p>
            <w:pPr>
              <w:spacing w:after="0" w:line="240"/>
            </w:pPr>
            <w:r>
              <w:rPr>
                <w:rFonts w:ascii="Georgia" w:cs="Georgia" w:eastAsia="Georgia" w:hAnsi="Georgia"/>
                <w:b w:val="false"/>
                <w:bCs w:val="false"/>
                <w:sz w:val="19"/>
                <w:szCs w:val="19"/>
              </w:rPr>
              <w:t xml:space="preserve">Listed for completeness: business/corporate events are capped at under 500 attendees, and liability limits top out at $2M. Almost certainly ineligible for a 649-seat ticketed show. Skip.</w:t>
            </w:r>
          </w:p>
        </w:tc>
      </w:tr>
    </w:tbl>
    <w:p>
      <w:pPr>
        <w:spacing w:after="160" w:before="200"/>
      </w:pPr>
      <w:r>
        <w:rPr>
          <w:rFonts w:ascii="Georgia" w:cs="Georgia" w:eastAsia="Georgia" w:hAnsi="Georgia"/>
          <w:sz w:val="22"/>
          <w:szCs w:val="22"/>
        </w:rPr>
        <w:t xml:space="preserve"/>
      </w:r>
    </w:p>
    <w:p>
      <w:pPr>
        <w:pStyle w:val="Heading1"/>
        <w:spacing w:after="160" w:before="320"/>
      </w:pPr>
      <w:r>
        <w:rPr>
          <w:rFonts w:ascii="Georgia" w:cs="Georgia" w:eastAsia="Georgia" w:hAnsi="Georgia"/>
          <w:b/>
          <w:bCs/>
          <w:color w:val="1F3864"/>
          <w:sz w:val="30"/>
          <w:szCs w:val="30"/>
        </w:rPr>
        <w:t xml:space="preserve">3. The payment-timing question, answered honestly</w:t>
      </w:r>
    </w:p>
    <w:p>
      <w:pPr>
        <w:spacing w:after="160" w:line="276"/>
      </w:pPr>
      <w:r>
        <w:rPr>
          <w:rFonts w:ascii="Georgia" w:cs="Georgia" w:eastAsia="Georgia" w:hAnsi="Georgia"/>
          <w:sz w:val="22"/>
          <w:szCs w:val="22"/>
        </w:rPr>
        <w:t xml:space="preserve">A true “buy now, pay later” product for one-day event liability essentially does not exist. These policies run $150–600; every instant-online provider charges the card at binding, and premium financing (the mechanism that spreads commercial premiums into instalments) is built for policies an order of magnitude larger. Nobody finances a $300 premium.</w:t>
      </w:r>
    </w:p>
    <w:p>
      <w:pPr>
        <w:spacing w:after="160" w:line="276"/>
      </w:pPr>
      <w:r>
        <w:rPr>
          <w:rFonts w:ascii="Georgia" w:cs="Georgia" w:eastAsia="Georgia" w:hAnsi="Georgia"/>
          <w:sz w:val="22"/>
          <w:szCs w:val="22"/>
        </w:rPr>
        <w:t xml:space="preserve">You have three real levers:</w:t>
      </w:r>
    </w:p>
    <w:p>
      <w:pPr>
        <w:pStyle w:val="ListParagraph"/>
        <w:numPr>
          <w:ilvl w:val="0"/>
          <w:numId w:val="2"/>
        </w:numPr>
        <w:spacing w:after="100" w:line="276"/>
      </w:pPr>
      <w:r>
        <w:rPr>
          <w:rFonts w:ascii="Georgia" w:cs="Georgia" w:eastAsia="Georgia" w:hAnsi="Georgia"/>
          <w:b/>
          <w:bCs/>
          <w:sz w:val="22"/>
          <w:szCs w:val="22"/>
        </w:rPr>
        <w:t xml:space="preserve">Bind late. </w:t>
      </w:r>
      <w:r>
        <w:rPr>
          <w:rFonts w:ascii="Georgia" w:cs="Georgia" w:eastAsia="Georgia" w:hAnsi="Georgia"/>
          <w:sz w:val="22"/>
          <w:szCs w:val="22"/>
        </w:rPr>
        <w:t xml:space="preserve">Most providers let you purchase up to the day before — some up to the day of — the event. The quote today and the quote in mid-August will be the same money. The constraint is not the insurer but the College: check when they require the certificate of insurance to be in hand, and bind just ahead of that date. This is the de facto deferral.</w:t>
      </w:r>
    </w:p>
    <w:p>
      <w:pPr>
        <w:pStyle w:val="ListParagraph"/>
        <w:numPr>
          <w:ilvl w:val="0"/>
          <w:numId w:val="2"/>
        </w:numPr>
        <w:spacing w:after="100" w:line="276"/>
      </w:pPr>
      <w:r>
        <w:rPr>
          <w:rFonts w:ascii="Georgia" w:cs="Georgia" w:eastAsia="Georgia" w:hAnsi="Georgia"/>
          <w:b/>
          <w:bCs/>
          <w:sz w:val="22"/>
          <w:szCs w:val="22"/>
        </w:rPr>
        <w:t xml:space="preserve">Quote now, bind later. </w:t>
      </w:r>
      <w:r>
        <w:rPr>
          <w:rFonts w:ascii="Georgia" w:cs="Georgia" w:eastAsia="Georgia" w:hAnsi="Georgia"/>
          <w:sz w:val="22"/>
          <w:szCs w:val="22"/>
        </w:rPr>
        <w:t xml:space="preserve">TheEventHelper and SpecialEventInsurance.com both let you generate and save a quote without payment. You lock the number, present it to the College if asked, and pay when the certificate deadline approaches.</w:t>
      </w:r>
    </w:p>
    <w:p>
      <w:pPr>
        <w:pStyle w:val="ListParagraph"/>
        <w:numPr>
          <w:ilvl w:val="0"/>
          <w:numId w:val="2"/>
        </w:numPr>
        <w:spacing w:after="100" w:line="276"/>
      </w:pPr>
      <w:r>
        <w:rPr>
          <w:rFonts w:ascii="Georgia" w:cs="Georgia" w:eastAsia="Georgia" w:hAnsi="Georgia"/>
          <w:b/>
          <w:bCs/>
          <w:sz w:val="22"/>
          <w:szCs w:val="22"/>
        </w:rPr>
        <w:t xml:space="preserve">Agency billing. </w:t>
      </w:r>
      <w:r>
        <w:rPr>
          <w:rFonts w:ascii="Georgia" w:cs="Georgia" w:eastAsia="Georgia" w:hAnsi="Georgia"/>
          <w:sz w:val="22"/>
          <w:szCs w:val="22"/>
        </w:rPr>
        <w:t xml:space="preserve">If invoicing genuinely matters — for instance, to keep the payment inside the non-profit's TD account once it opens — a local independent agency (Rogers Gray is the obvious Cape Cod candidate) can place the policy on agency bill with payment terms. Expect a modestly higher premium and a week of lead time rather than ten minutes.</w:t>
      </w:r>
    </w:p>
    <w:p>
      <w:pPr>
        <w:pStyle w:val="Heading1"/>
        <w:spacing w:after="160" w:before="320"/>
      </w:pPr>
      <w:r>
        <w:rPr>
          <w:rFonts w:ascii="Georgia" w:cs="Georgia" w:eastAsia="Georgia" w:hAnsi="Georgia"/>
          <w:b/>
          <w:bCs/>
          <w:color w:val="1F3864"/>
          <w:sz w:val="30"/>
          <w:szCs w:val="30"/>
        </w:rPr>
        <w:t xml:space="preserve">4. Recommended sequence</w:t>
      </w:r>
    </w:p>
    <w:p>
      <w:pPr>
        <w:pStyle w:val="ListParagraph"/>
        <w:numPr>
          <w:ilvl w:val="0"/>
          <w:numId w:val="2"/>
        </w:numPr>
        <w:spacing w:after="100" w:line="276"/>
      </w:pPr>
      <w:r>
        <w:rPr>
          <w:rFonts w:ascii="Georgia" w:cs="Georgia" w:eastAsia="Georgia" w:hAnsi="Georgia"/>
          <w:sz w:val="22"/>
          <w:szCs w:val="22"/>
        </w:rPr>
        <w:t xml:space="preserve">Email the Tilden/CCCC events office today with two questions: does the College offer a TULIP (tenant-user) insurance programme, and does an additional-insured endorsement with a $2M aggregate satisfy clause 10, or is $3M firm? Also ask their certificate deadline.</w:t>
      </w:r>
    </w:p>
    <w:p>
      <w:pPr>
        <w:pStyle w:val="ListParagraph"/>
        <w:numPr>
          <w:ilvl w:val="0"/>
          <w:numId w:val="2"/>
        </w:numPr>
        <w:spacing w:after="100" w:line="276"/>
      </w:pPr>
      <w:r>
        <w:rPr>
          <w:rFonts w:ascii="Georgia" w:cs="Georgia" w:eastAsia="Georgia" w:hAnsi="Georgia"/>
          <w:sz w:val="22"/>
          <w:szCs w:val="22"/>
        </w:rPr>
        <w:t xml:space="preserve">If a TULIP exists: use it. Pre-approved wording, lowest friction, likely lowest price.</w:t>
      </w:r>
    </w:p>
    <w:p>
      <w:pPr>
        <w:pStyle w:val="ListParagraph"/>
        <w:numPr>
          <w:ilvl w:val="0"/>
          <w:numId w:val="2"/>
        </w:numPr>
        <w:spacing w:after="100" w:line="276"/>
      </w:pPr>
      <w:r>
        <w:rPr>
          <w:rFonts w:ascii="Georgia" w:cs="Georgia" w:eastAsia="Georgia" w:hAnsi="Georgia"/>
          <w:sz w:val="22"/>
          <w:szCs w:val="22"/>
        </w:rPr>
        <w:t xml:space="preserve">If not, and $3M is firm: quote TheEventHelper and SpecialEventInsurance.com with the aggregate set to $3M, and phone K&amp;K for a third number. Bind the cheapest just ahead of the College's certificate deadline.</w:t>
      </w:r>
    </w:p>
    <w:p>
      <w:pPr>
        <w:pStyle w:val="ListParagraph"/>
        <w:numPr>
          <w:ilvl w:val="0"/>
          <w:numId w:val="2"/>
        </w:numPr>
        <w:spacing w:after="100" w:line="276"/>
      </w:pPr>
      <w:r>
        <w:rPr>
          <w:rFonts w:ascii="Georgia" w:cs="Georgia" w:eastAsia="Georgia" w:hAnsi="Georgia"/>
          <w:sz w:val="22"/>
          <w:szCs w:val="22"/>
        </w:rPr>
        <w:t xml:space="preserve">If $2M is accepted: add GatherGuard and Thimble to the quote round — one of them will probably win on price.</w:t>
      </w:r>
    </w:p>
    <w:p>
      <w:pPr>
        <w:pStyle w:val="ListParagraph"/>
        <w:numPr>
          <w:ilvl w:val="0"/>
          <w:numId w:val="2"/>
        </w:numPr>
        <w:spacing w:after="100" w:line="276"/>
      </w:pPr>
      <w:r>
        <w:rPr>
          <w:rFonts w:ascii="Georgia" w:cs="Georgia" w:eastAsia="Georgia" w:hAnsi="Georgia"/>
          <w:sz w:val="22"/>
          <w:szCs w:val="22"/>
        </w:rPr>
        <w:t xml:space="preserve">Whichever route wins, the certificate must show: The 1140-a Company as insured; Cape Cod Community College (and, if they ask, the Commonwealth of Massachusetts / the College's board) as additional insured; the event date range including load-in and load-out, not just the four performance hours; and the notice-of-cancellation provision.</w:t>
      </w:r>
    </w:p>
    <w:p>
      <w:pPr>
        <w:pBdr>
          <w:top w:val="single" w:color="9CB3D4" w:sz="4" w:space="8"/>
        </w:pBdr>
        <w:spacing w:after="0" w:before="320"/>
      </w:pPr>
      <w:r>
        <w:rPr>
          <w:rFonts w:ascii="Georgia" w:cs="Georgia" w:eastAsia="Georgia" w:hAnsi="Georgia"/>
          <w:i/>
          <w:iCs/>
          <w:color w:val="666666"/>
          <w:sz w:val="18"/>
          <w:szCs w:val="18"/>
        </w:rPr>
        <w:t xml:space="preserve">Prepared 22 July 2026. Premium figures are estimates drawn from published provider rate guidance and are not quotes; all providers listed issue instant or same-week certificates of insurance naming the venue. This document is research, not insurance or legal advice.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2026-07-22T13:33:41.200Z</dcterms:created>
  <dcterms:modified xsi:type="dcterms:W3CDTF">2026-07-22T13:33:41.223Z</dcterms:modified>
</cp:coreProperties>
</file>

<file path=docProps/custom.xml><?xml version="1.0" encoding="utf-8"?>
<Properties xmlns="http://schemas.openxmlformats.org/officeDocument/2006/custom-properties" xmlns:vt="http://schemas.openxmlformats.org/officeDocument/2006/docPropsVTypes"/>
</file>