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best-options-for-your-august-29-event"/>
    <w:p>
      <w:pPr>
        <w:pStyle w:val="Heading1"/>
      </w:pPr>
      <w:r>
        <w:t xml:space="preserve">Best options for your August 29 event</w:t>
      </w:r>
    </w:p>
    <w:p>
      <w:pPr>
        <w:pStyle w:val="FirstParagraph"/>
      </w:pPr>
      <w:r>
        <w:t xml:space="preserve">Assuming the event is</w:t>
      </w:r>
      <w:r>
        <w:t xml:space="preserve"> </w:t>
      </w:r>
      <w:r>
        <w:rPr>
          <w:b/>
          <w:bCs/>
        </w:rPr>
        <w:t xml:space="preserve">August 29, 2026</w:t>
      </w:r>
      <w:r>
        <w:t xml:space="preserve">, the least expensive</w:t>
      </w:r>
      <w:r>
        <w:t xml:space="preserve"> </w:t>
      </w:r>
      <w:r>
        <w:rPr>
          <w:b/>
          <w:bCs/>
        </w:rPr>
        <w:t xml:space="preserve">published price that clearly satisfies the college’s $1 million per occurrence / $3 million aggregate requirement</w:t>
      </w:r>
      <w:r>
        <w:t xml:space="preserve"> </w:t>
      </w:r>
      <w:r>
        <w:t xml:space="preserve">is:</w:t>
      </w:r>
    </w:p>
    <w:p>
      <w:pPr>
        <w:pStyle w:val="Compact"/>
        <w:numPr>
          <w:ilvl w:val="0"/>
          <w:numId w:val="1001"/>
        </w:numPr>
      </w:pPr>
      <w:r>
        <w:rPr>
          <w:b/>
          <w:bCs/>
        </w:rPr>
        <w:t xml:space="preserve">$145 through K&amp;K</w:t>
      </w:r>
      <w:r>
        <w:t xml:space="preserve"> </w:t>
      </w:r>
      <w:r>
        <w:t xml:space="preserve">for an eligible, invitation-only event with 200 or fewer attendees and no alcohol.</w:t>
      </w:r>
    </w:p>
    <w:p>
      <w:pPr>
        <w:pStyle w:val="Compact"/>
        <w:numPr>
          <w:ilvl w:val="0"/>
          <w:numId w:val="1001"/>
        </w:numPr>
      </w:pPr>
      <w:r>
        <w:rPr>
          <w:b/>
          <w:bCs/>
        </w:rPr>
        <w:t xml:space="preserve">$175 starting price through PHLY/CPH</w:t>
      </w:r>
      <w:r>
        <w:t xml:space="preserve">, with exactly $1 million per occurrence and $3 million aggregate.</w:t>
      </w:r>
    </w:p>
    <w:p>
      <w:pPr>
        <w:pStyle w:val="Compact"/>
        <w:numPr>
          <w:ilvl w:val="0"/>
          <w:numId w:val="1001"/>
        </w:numPr>
      </w:pPr>
      <w:r>
        <w:rPr>
          <w:b/>
          <w:bCs/>
        </w:rPr>
        <w:t xml:space="preserve">$199 starting price through RVNA</w:t>
      </w:r>
      <w:r>
        <w:t xml:space="preserve">, with limits selectable up to $5 million.</w:t>
      </w:r>
    </w:p>
    <w:p>
      <w:pPr>
        <w:pStyle w:val="Compact"/>
        <w:numPr>
          <w:ilvl w:val="0"/>
          <w:numId w:val="1001"/>
        </w:numPr>
      </w:pPr>
      <w:r>
        <w:t xml:space="preserve">For a public or ticketed event with up to 1,500 attendees,</w:t>
      </w:r>
      <w:r>
        <w:t xml:space="preserve"> </w:t>
      </w:r>
      <w:r>
        <w:rPr>
          <w:b/>
          <w:bCs/>
        </w:rPr>
        <w:t xml:space="preserve">K&amp;K’s published qualifying price is $435</w:t>
      </w:r>
      <w:r>
        <w:t xml:space="preserve">. PHLY and RVNA should still be quoted because their actual public-event price might be lower. K&amp;K’s prices include its $20 purchasing-group administration fee. (</w:t>
      </w:r>
      <w:hyperlink r:id="rId20">
        <w:r>
          <w:rPr>
            <w:rStyle w:val="Hyperlink"/>
          </w:rPr>
          <w:t xml:space="preserve">kandkinsurance.com</w:t>
        </w:r>
      </w:hyperlink>
      <w:r>
        <w:t xml:space="preserve">)</w:t>
      </w:r>
    </w:p>
    <w:p>
      <w:pPr>
        <w:pStyle w:val="FirstParagraph"/>
      </w:pPr>
      <w:r>
        <w:t xml:space="preserve">The final price will depend principally on the type of event, expected attendance, whether it is invitation-only or open to the public, whether admission is charged, and whether alcohol is served or sold.</w:t>
      </w:r>
    </w:p>
    <w:bookmarkStart w:id="25" w:name="X1f88410d0622223fe24c6abaf9bff2fe0fab227"/>
    <w:p>
      <w:pPr>
        <w:pStyle w:val="Heading2"/>
      </w:pPr>
      <w:r>
        <w:t xml:space="preserve">First, resolve two problems in the college’s contract</w:t>
      </w:r>
    </w:p>
    <w:bookmarkStart w:id="22" w:name="X59bd5b87d46300ae6a2c167565b1e75c57a4c8c"/>
    <w:p>
      <w:pPr>
        <w:pStyle w:val="Heading3"/>
      </w:pPr>
      <w:r>
        <w:t xml:space="preserve">1.</w:t>
      </w:r>
      <w:r>
        <w:t xml:space="preserve"> </w:t>
      </w:r>
      <w:r>
        <w:t xml:space="preserve">“</w:t>
      </w:r>
      <w:r>
        <w:t xml:space="preserve">Named insured</w:t>
      </w:r>
      <w:r>
        <w:t xml:space="preserve">”</w:t>
      </w:r>
      <w:r>
        <w:t xml:space="preserve"> </w:t>
      </w:r>
      <w:r>
        <w:t xml:space="preserve">is probably not what an ordinary event policy provides</w:t>
      </w:r>
    </w:p>
    <w:p>
      <w:pPr>
        <w:pStyle w:val="FirstParagraph"/>
      </w:pPr>
      <w:r>
        <w:t xml:space="preserve">A</w:t>
      </w:r>
      <w:r>
        <w:t xml:space="preserve"> </w:t>
      </w:r>
      <w:r>
        <w:rPr>
          <w:b/>
          <w:bCs/>
        </w:rPr>
        <w:t xml:space="preserve">named insured</w:t>
      </w:r>
      <w:r>
        <w:t xml:space="preserve"> </w:t>
      </w:r>
      <w:r>
        <w:t xml:space="preserve">owns the policy and appears on its declarations page. An</w:t>
      </w:r>
      <w:r>
        <w:t xml:space="preserve"> </w:t>
      </w:r>
      <w:r>
        <w:rPr>
          <w:b/>
          <w:bCs/>
        </w:rPr>
        <w:t xml:space="preserve">additional insured</w:t>
      </w:r>
      <w:r>
        <w:t xml:space="preserve"> </w:t>
      </w:r>
      <w:r>
        <w:t xml:space="preserve">is protected through an endorsement but does not own the policy. Standard special-event products ordinarily make your nonprofit the named insured and add the venue as an additional insured. (</w:t>
      </w:r>
      <w:hyperlink r:id="rId21">
        <w:r>
          <w:rPr>
            <w:rStyle w:val="Hyperlink"/>
          </w:rPr>
          <w:t xml:space="preserve">mcgriff.com</w:t>
        </w:r>
      </w:hyperlink>
      <w:r>
        <w:t xml:space="preserve">)</w:t>
      </w:r>
    </w:p>
    <w:p>
      <w:pPr>
        <w:pStyle w:val="BodyText"/>
      </w:pPr>
      <w:r>
        <w:t xml:space="preserve">Therefore, before purchasing anything, ask Cape Cod Community College:</w:t>
      </w:r>
    </w:p>
    <w:p>
      <w:pPr>
        <w:pStyle w:val="BlockText"/>
        <w:pBdr>
          <w:left w:val="single" w:sz="10" w:space="5" w:color="1F4E79"/>
        </w:pBdr>
        <w:shd w:val="clear" w:color="auto" w:fill="F5F7FA"/>
      </w:pPr>
      <w:r>
        <w:t xml:space="preserve">Does</w:t>
      </w:r>
      <w:r>
        <w:t xml:space="preserve"> </w:t>
      </w:r>
      <w:r>
        <w:t xml:space="preserve">“</w:t>
      </w:r>
      <w:r>
        <w:t xml:space="preserve">The Licensor shall be a named-insured</w:t>
      </w:r>
      <w:r>
        <w:t xml:space="preserve">”</w:t>
      </w:r>
      <w:r>
        <w:t xml:space="preserve"> </w:t>
      </w:r>
      <w:r>
        <w:t xml:space="preserve">mean that Cape Cod Community College must be listed as an</w:t>
      </w:r>
      <w:r>
        <w:t xml:space="preserve"> </w:t>
      </w:r>
      <w:r>
        <w:rPr>
          <w:b/>
          <w:bCs/>
        </w:rPr>
        <w:t xml:space="preserve">additional insured by endorsement</w:t>
      </w:r>
      <w:r>
        <w:t xml:space="preserve">, with my nonprofit remaining the named insured?</w:t>
      </w:r>
    </w:p>
    <w:p>
      <w:pPr>
        <w:pStyle w:val="FirstParagraph"/>
      </w:pPr>
      <w:r>
        <w:t xml:space="preserve">If the college literally requires co-named-insured status, do not assume a normal online event policy will comply. That would probably require a broker-assisted placement and specific carrier approval.</w:t>
      </w:r>
    </w:p>
    <w:p>
      <w:pPr>
        <w:pStyle w:val="BodyText"/>
      </w:pPr>
      <w:r>
        <w:t xml:space="preserve">Also use the nonprofit’s</w:t>
      </w:r>
      <w:r>
        <w:t xml:space="preserve"> </w:t>
      </w:r>
      <w:r>
        <w:rPr>
          <w:b/>
          <w:bCs/>
        </w:rPr>
        <w:t xml:space="preserve">exact Massachusetts-registered legal name</w:t>
      </w:r>
      <w:r>
        <w:t xml:space="preserve">, including</w:t>
      </w:r>
      <w:r>
        <w:t xml:space="preserve"> </w:t>
      </w:r>
      <w:r>
        <w:t xml:space="preserve">“</w:t>
      </w:r>
      <w:r>
        <w:t xml:space="preserve">Inc.,</w:t>
      </w:r>
      <w:r>
        <w:t xml:space="preserve">”</w:t>
      </w:r>
      <w:r>
        <w:t xml:space="preserve"> </w:t>
      </w:r>
      <w:r>
        <w:t xml:space="preserve">“</w:t>
      </w:r>
      <w:r>
        <w:t xml:space="preserve">Corporation,</w:t>
      </w:r>
      <w:r>
        <w:t xml:space="preserve">”</w:t>
      </w:r>
      <w:r>
        <w:t xml:space="preserve"> </w:t>
      </w:r>
      <w:r>
        <w:t xml:space="preserve">or other suffix, and add any operating or DBA name. Entity-name mismatches can create coverage problems. (</w:t>
      </w:r>
      <w:hyperlink r:id="rId21">
        <w:r>
          <w:rPr>
            <w:rStyle w:val="Hyperlink"/>
          </w:rPr>
          <w:t xml:space="preserve">mcgriff.com</w:t>
        </w:r>
      </w:hyperlink>
      <w:r>
        <w:t xml:space="preserve">)</w:t>
      </w:r>
    </w:p>
    <w:bookmarkEnd w:id="22"/>
    <w:bookmarkStart w:id="24" w:name="X74a92568f35ecf1afb9f0d10e82144cf692c122"/>
    <w:p>
      <w:pPr>
        <w:pStyle w:val="Heading3"/>
      </w:pPr>
      <w:r>
        <w:t xml:space="preserve">2.</w:t>
      </w:r>
      <w:r>
        <w:t xml:space="preserve"> </w:t>
      </w:r>
      <w:r>
        <w:t xml:space="preserve">“</w:t>
      </w:r>
      <w:r>
        <w:t xml:space="preserve">At least ten (30) days</w:t>
      </w:r>
      <w:r>
        <w:t xml:space="preserve">”</w:t>
      </w:r>
      <w:r>
        <w:t xml:space="preserve"> </w:t>
      </w:r>
      <w:r>
        <w:t xml:space="preserve">is internally inconsistent</w:t>
      </w:r>
    </w:p>
    <w:p>
      <w:pPr>
        <w:pStyle w:val="FirstParagraph"/>
      </w:pPr>
      <w:r>
        <w:t xml:space="preserve">The agreement should be corrected or clarified in writing. Also, the sentence you quoted concerns advance notice of</w:t>
      </w:r>
      <w:r>
        <w:t xml:space="preserve"> </w:t>
      </w:r>
      <w:r>
        <w:rPr>
          <w:b/>
          <w:bCs/>
        </w:rPr>
        <w:t xml:space="preserve">termination, suspension or modification of the insurance</w:t>
      </w:r>
      <w:r>
        <w:t xml:space="preserve">. It does not expressly state that the certificate of insurance itself must be delivered 30 days before the event.</w:t>
      </w:r>
    </w:p>
    <w:p>
      <w:pPr>
        <w:pStyle w:val="BodyText"/>
      </w:pPr>
      <w:r>
        <w:t xml:space="preserve">Nevertheless,</w:t>
      </w:r>
      <w:r>
        <w:t xml:space="preserve"> </w:t>
      </w:r>
      <w:r>
        <w:rPr>
          <w:b/>
          <w:bCs/>
        </w:rPr>
        <w:t xml:space="preserve">July 30, 2026 is 30 days before August 29</w:t>
      </w:r>
      <w:r>
        <w:t xml:space="preserve">, so confirm the college’s actual certificate deadline immediately.</w:t>
      </w:r>
    </w:p>
    <w:p>
      <w:pPr>
        <w:pStyle w:val="BodyText"/>
      </w:pPr>
      <w:r>
        <w:t xml:space="preserve">An ordinary certificate of insurance is only evidence of coverage; it does not amend the policy or create cancellation-notice, additional-insured, waiver-of-subrogation, or other rights that are not actually in the policy or an endorsement. (</w:t>
      </w:r>
      <w:hyperlink r:id="rId23">
        <w:r>
          <w:rPr>
            <w:rStyle w:val="Hyperlink"/>
          </w:rPr>
          <w:t xml:space="preserve">acord.org</w:t>
        </w:r>
      </w:hyperlink>
      <w:r>
        <w:t xml:space="preserve">)</w:t>
      </w:r>
    </w:p>
    <w:bookmarkEnd w:id="24"/>
    <w:bookmarkEnd w:id="25"/>
    <w:bookmarkStart w:id="41" w:name="ranked-national-insurance-options"/>
    <w:p>
      <w:pPr>
        <w:sectPr>
          <w:pgSz w:w="12240" w:h="15840"/>
          <w:pgMar w:top="835" w:bottom="893" w:left="1080" w:right="1080" w:header="360" w:footer="360"/>
        </w:sectPr>
      </w:pPr>
    </w:p>
    <w:p>
      <w:pPr>
        <w:pStyle w:val="Heading2"/>
        <w:spacing w:before="0" w:after="80"/>
      </w:pPr>
      <w:r>
        <w:t xml:space="preserve">Ranked national insurance options</w:t>
      </w:r>
    </w:p>
    <w:tbl>
      <w:tblPr>
        <w:tblW w:type="dxa" w:w="14400"/>
        <w:jc w:val="center"/>
        <w:tblLayout w:type="fixed"/>
        <w:tblLook w:firstRow="1" w:lastRow="0" w:firstColumn="0" w:lastColumn="0" w:noHBand="0" w:noVBand="0" w:val="00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792"/>
        <w:gridCol w:w="3096"/>
        <w:gridCol w:w="6048"/>
        <w:gridCol w:w="4464"/>
      </w:tblGrid>
      <w:tr>
        <w:trPr>
          <w:tblHeader w:val="true"/>
        </w:trPr>
        <w:tc>
          <w:tcPr>
            <w:tcW w:type="dxa" w:w="792"/>
            <w:tcMar>
              <w:top w:w="70" w:type="dxa"/>
              <w:start w:w="90" w:type="dxa"/>
              <w:bottom w:w="70" w:type="dxa"/>
              <w:end w:w="90" w:type="dxa"/>
            </w:tcMar>
            <w:vAlign w:val="top"/>
            <w:shd w:val="clear" w:color="auto" w:fill="1F4E79"/>
          </w:tcPr>
          <w:p>
            <w:pPr>
              <w:pStyle w:val="Compact"/>
              <w:widowControl w:val="0"/>
              <w:spacing w:before="0" w:after="30" w:line="240" w:lineRule="auto"/>
              <w:ind w:left="0" w:right="0" w:firstLine="0"/>
              <w:jc w:val="center"/>
            </w:pPr>
            <w:r>
              <w:rPr>
                <w:rFonts w:ascii="Arial" w:hAnsi="Arial" w:eastAsia="Arial" w:cs="Arial"/>
                <w:b/>
                <w:color w:val="FFFFFF"/>
                <w:sz w:val="17"/>
              </w:rPr>
              <w:t xml:space="preserve">Priority</w:t>
            </w:r>
          </w:p>
        </w:tc>
        <w:tc>
          <w:tcPr>
            <w:tcW w:type="dxa" w:w="3096"/>
            <w:tcMar>
              <w:top w:w="70" w:type="dxa"/>
              <w:start w:w="90" w:type="dxa"/>
              <w:bottom w:w="70" w:type="dxa"/>
              <w:end w:w="90" w:type="dxa"/>
            </w:tcMar>
            <w:vAlign w:val="top"/>
            <w:shd w:val="clear" w:color="auto" w:fill="1F4E79"/>
          </w:tcPr>
          <w:p>
            <w:pPr>
              <w:pStyle w:val="Compact"/>
              <w:widowControl w:val="0"/>
              <w:spacing w:before="0" w:after="30" w:line="240" w:lineRule="auto"/>
              <w:ind w:left="0" w:right="0" w:firstLine="0"/>
              <w:jc w:val="center"/>
            </w:pPr>
            <w:r>
              <w:rPr>
                <w:rFonts w:ascii="Arial" w:hAnsi="Arial" w:eastAsia="Arial" w:cs="Arial"/>
                <w:b/>
                <w:color w:val="FFFFFF"/>
                <w:sz w:val="17"/>
              </w:rPr>
              <w:t xml:space="preserve">Provider</w:t>
            </w:r>
          </w:p>
        </w:tc>
        <w:tc>
          <w:tcPr>
            <w:tcW w:type="dxa" w:w="6048"/>
            <w:tcMar>
              <w:top w:w="70" w:type="dxa"/>
              <w:start w:w="90" w:type="dxa"/>
              <w:bottom w:w="70" w:type="dxa"/>
              <w:end w:w="90" w:type="dxa"/>
            </w:tcMar>
            <w:vAlign w:val="top"/>
            <w:shd w:val="clear" w:color="auto" w:fill="1F4E79"/>
          </w:tcPr>
          <w:p>
            <w:pPr>
              <w:pStyle w:val="Compact"/>
              <w:widowControl w:val="0"/>
              <w:spacing w:before="0" w:after="30" w:line="240" w:lineRule="auto"/>
              <w:ind w:left="0" w:right="0" w:firstLine="0"/>
              <w:jc w:val="center"/>
            </w:pPr>
            <w:r>
              <w:rPr>
                <w:rFonts w:ascii="Arial" w:hAnsi="Arial" w:eastAsia="Arial" w:cs="Arial"/>
                <w:b/>
                <w:color w:val="FFFFFF"/>
                <w:sz w:val="17"/>
              </w:rPr>
              <w:t xml:space="preserve">Coverage and published pricing</w:t>
            </w:r>
          </w:p>
        </w:tc>
        <w:tc>
          <w:tcPr>
            <w:tcW w:type="dxa" w:w="4464"/>
            <w:tcMar>
              <w:top w:w="70" w:type="dxa"/>
              <w:start w:w="90" w:type="dxa"/>
              <w:bottom w:w="70" w:type="dxa"/>
              <w:end w:w="90" w:type="dxa"/>
            </w:tcMar>
            <w:vAlign w:val="top"/>
            <w:shd w:val="clear" w:color="auto" w:fill="1F4E79"/>
          </w:tcPr>
          <w:p>
            <w:pPr>
              <w:pStyle w:val="Compact"/>
              <w:widowControl w:val="0"/>
              <w:spacing w:before="0" w:after="30" w:line="240" w:lineRule="auto"/>
              <w:ind w:left="0" w:right="0" w:firstLine="0"/>
              <w:jc w:val="center"/>
            </w:pPr>
            <w:r>
              <w:rPr>
                <w:rFonts w:ascii="Arial" w:hAnsi="Arial" w:eastAsia="Arial" w:cs="Arial"/>
                <w:b/>
                <w:color w:val="FFFFFF"/>
                <w:sz w:val="17"/>
              </w:rPr>
              <w:t xml:space="preserve">Payment timing</w:t>
            </w:r>
          </w:p>
        </w:tc>
      </w:tr>
      <w:tr>
        <w:tc>
          <w:tcPr>
            <w:tcW w:type="dxa" w:w="792"/>
            <w:tcMar>
              <w:top w:w="70" w:type="dxa"/>
              <w:start w:w="90" w:type="dxa"/>
              <w:bottom w:w="70" w:type="dxa"/>
              <w:end w:w="90" w:type="dxa"/>
            </w:tcMar>
            <w:vAlign w:val="top"/>
          </w:tcPr>
          <w:p>
            <w:pPr>
              <w:pStyle w:val="Compact"/>
              <w:widowControl w:val="0"/>
              <w:spacing w:before="0" w:after="30" w:line="240" w:lineRule="auto"/>
              <w:ind w:left="0" w:right="0" w:firstLine="0"/>
              <w:jc w:val="center"/>
            </w:pPr>
            <w:r>
              <w:rPr>
                <w:rFonts w:ascii="Arial" w:hAnsi="Arial" w:eastAsia="Arial" w:cs="Arial"/>
                <w:b/>
                <w:bCs/>
                <w:sz w:val="16"/>
              </w:rPr>
              <w:t xml:space="preserve">1</w:t>
            </w:r>
          </w:p>
        </w:tc>
        <w:tc>
          <w:tcPr>
            <w:tcW w:type="dxa" w:w="3096"/>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b/>
                <w:bCs/>
                <w:sz w:val="16"/>
              </w:rPr>
              <w:t xml:space="preserve">K&amp;K Insurance</w:t>
            </w:r>
          </w:p>
        </w:tc>
        <w:tc>
          <w:tcPr>
            <w:tcW w:type="dxa" w:w="6048"/>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sz w:val="16"/>
              </w:rPr>
              <w:t xml:space="preserve">Option 1 provides</w:t>
            </w:r>
            <w:r>
              <w:rPr>
                <w:rFonts w:ascii="Arial" w:hAnsi="Arial" w:eastAsia="Arial" w:cs="Arial"/>
                <w:sz w:val="16"/>
              </w:rPr>
              <w:t xml:space="preserve"> </w:t>
            </w:r>
            <w:r>
              <w:rPr>
                <w:rFonts w:ascii="Arial" w:hAnsi="Arial" w:eastAsia="Arial" w:cs="Arial"/>
                <w:b/>
                <w:bCs/>
                <w:sz w:val="16"/>
              </w:rPr>
              <w:t xml:space="preserve">$1M per occurrence / $5M aggregate</w:t>
            </w:r>
            <w:r>
              <w:rPr>
                <w:rFonts w:ascii="Arial" w:hAnsi="Arial" w:eastAsia="Arial" w:cs="Arial"/>
                <w:sz w:val="16"/>
              </w:rPr>
              <w:t xml:space="preserve">, plus $1M damage to premises rented to you. Invitation-only, 1–200 attendees:</w:t>
            </w:r>
            <w:r>
              <w:rPr>
                <w:rFonts w:ascii="Arial" w:hAnsi="Arial" w:eastAsia="Arial" w:cs="Arial"/>
                <w:sz w:val="16"/>
              </w:rPr>
              <w:t xml:space="preserve"> </w:t>
            </w:r>
            <w:r>
              <w:rPr>
                <w:rFonts w:ascii="Arial" w:hAnsi="Arial" w:eastAsia="Arial" w:cs="Arial"/>
                <w:b/>
                <w:bCs/>
                <w:sz w:val="16"/>
              </w:rPr>
              <w:t xml:space="preserve">$145 without alcohol</w:t>
            </w:r>
            <w:r>
              <w:rPr>
                <w:rFonts w:ascii="Arial" w:hAnsi="Arial" w:eastAsia="Arial" w:cs="Arial"/>
                <w:sz w:val="16"/>
              </w:rPr>
              <w:t xml:space="preserve"> </w:t>
            </w:r>
            <w:r>
              <w:rPr>
                <w:rFonts w:ascii="Arial" w:hAnsi="Arial" w:eastAsia="Arial" w:cs="Arial"/>
                <w:sz w:val="16"/>
              </w:rPr>
              <w:t xml:space="preserve">or</w:t>
            </w:r>
            <w:r>
              <w:rPr>
                <w:rFonts w:ascii="Arial" w:hAnsi="Arial" w:eastAsia="Arial" w:cs="Arial"/>
                <w:sz w:val="16"/>
              </w:rPr>
              <w:t xml:space="preserve"> </w:t>
            </w:r>
            <w:r>
              <w:rPr>
                <w:rFonts w:ascii="Arial" w:hAnsi="Arial" w:eastAsia="Arial" w:cs="Arial"/>
                <w:b/>
                <w:bCs/>
                <w:sz w:val="16"/>
              </w:rPr>
              <w:t xml:space="preserve">$199 with host liquor</w:t>
            </w:r>
            <w:r>
              <w:rPr>
                <w:rFonts w:ascii="Arial" w:hAnsi="Arial" w:eastAsia="Arial" w:cs="Arial"/>
                <w:sz w:val="16"/>
              </w:rPr>
              <w:t xml:space="preserve">. Invitation-only, 201–500:</w:t>
            </w:r>
            <w:r>
              <w:rPr>
                <w:rFonts w:ascii="Arial" w:hAnsi="Arial" w:eastAsia="Arial" w:cs="Arial"/>
                <w:sz w:val="16"/>
              </w:rPr>
              <w:t xml:space="preserve"> </w:t>
            </w:r>
            <w:r>
              <w:rPr>
                <w:rFonts w:ascii="Arial" w:hAnsi="Arial" w:eastAsia="Arial" w:cs="Arial"/>
                <w:b/>
                <w:bCs/>
                <w:sz w:val="16"/>
              </w:rPr>
              <w:t xml:space="preserve">$211/$293</w:t>
            </w:r>
            <w:r>
              <w:rPr>
                <w:rFonts w:ascii="Arial" w:hAnsi="Arial" w:eastAsia="Arial" w:cs="Arial"/>
                <w:sz w:val="16"/>
              </w:rPr>
              <w:t xml:space="preserve">. Public or ticketed, 1–1,500:</w:t>
            </w:r>
            <w:r>
              <w:rPr>
                <w:rFonts w:ascii="Arial" w:hAnsi="Arial" w:eastAsia="Arial" w:cs="Arial"/>
                <w:sz w:val="16"/>
              </w:rPr>
              <w:t xml:space="preserve"> </w:t>
            </w:r>
            <w:r>
              <w:rPr>
                <w:rFonts w:ascii="Arial" w:hAnsi="Arial" w:eastAsia="Arial" w:cs="Arial"/>
                <w:b/>
                <w:bCs/>
                <w:sz w:val="16"/>
              </w:rPr>
              <w:t xml:space="preserve">$435</w:t>
            </w:r>
            <w:r>
              <w:rPr>
                <w:rFonts w:ascii="Arial" w:hAnsi="Arial" w:eastAsia="Arial" w:cs="Arial"/>
                <w:sz w:val="16"/>
              </w:rPr>
              <w:t xml:space="preserve">. Eligible classes include charity events, meetings, lectures, recitals, speaking engagements, stage shows and theatrical performances. (</w:t>
            </w:r>
            <w:hyperlink r:id="rId20">
              <w:r>
                <w:rPr>
                  <w:rStyle w:val="Hyperlink"/>
                  <w:rFonts w:ascii="Arial" w:hAnsi="Arial" w:eastAsia="Arial" w:cs="Arial"/>
                  <w:sz w:val="16"/>
                </w:rPr>
                <w:t xml:space="preserve">kandkinsurance.com</w:t>
              </w:r>
            </w:hyperlink>
            <w:r>
              <w:rPr>
                <w:rFonts w:ascii="Arial" w:hAnsi="Arial" w:eastAsia="Arial" w:cs="Arial"/>
                <w:sz w:val="16"/>
              </w:rPr>
              <w:t xml:space="preserve">)</w:t>
            </w:r>
          </w:p>
        </w:tc>
        <w:tc>
          <w:tcPr>
            <w:tcW w:type="dxa" w:w="4464"/>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sz w:val="16"/>
              </w:rPr>
              <w:t xml:space="preserve">Payment is required before coverage becomes effective. No coverage or certificate until payment is received. ACH is available when purchased at least 15 days before the effective date, but this is still immediate payment rather than deferred billing. Call</w:t>
            </w:r>
            <w:r>
              <w:rPr>
                <w:rFonts w:ascii="Arial" w:hAnsi="Arial" w:eastAsia="Arial" w:cs="Arial"/>
                <w:sz w:val="16"/>
              </w:rPr>
              <w:t xml:space="preserve"> </w:t>
            </w:r>
            <w:r>
              <w:rPr>
                <w:rFonts w:ascii="Arial" w:hAnsi="Arial" w:eastAsia="Arial" w:cs="Arial"/>
                <w:b/>
                <w:bCs/>
                <w:sz w:val="16"/>
              </w:rPr>
              <w:t xml:space="preserve">1-877-648-6404</w:t>
            </w:r>
            <w:r>
              <w:rPr>
                <w:rFonts w:ascii="Arial" w:hAnsi="Arial" w:eastAsia="Arial" w:cs="Arial"/>
                <w:sz w:val="16"/>
              </w:rPr>
              <w:t xml:space="preserve">. (</w:t>
            </w:r>
            <w:hyperlink r:id="rId20">
              <w:r>
                <w:rPr>
                  <w:rStyle w:val="Hyperlink"/>
                  <w:rFonts w:ascii="Arial" w:hAnsi="Arial" w:eastAsia="Arial" w:cs="Arial"/>
                  <w:sz w:val="16"/>
                </w:rPr>
                <w:t xml:space="preserve">kandkinsurance.com</w:t>
              </w:r>
            </w:hyperlink>
            <w:r>
              <w:rPr>
                <w:rFonts w:ascii="Arial" w:hAnsi="Arial" w:eastAsia="Arial" w:cs="Arial"/>
                <w:sz w:val="16"/>
              </w:rPr>
              <w:t xml:space="preserve">)</w:t>
            </w:r>
          </w:p>
        </w:tc>
      </w:tr>
      <w:tr>
        <w:tc>
          <w:tcPr>
            <w:tcW w:type="dxa" w:w="792"/>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center"/>
            </w:pPr>
            <w:r>
              <w:rPr>
                <w:rFonts w:ascii="Arial" w:hAnsi="Arial" w:eastAsia="Arial" w:cs="Arial"/>
                <w:b/>
                <w:bCs/>
                <w:sz w:val="16"/>
              </w:rPr>
              <w:t xml:space="preserve">2</w:t>
            </w:r>
          </w:p>
        </w:tc>
        <w:tc>
          <w:tcPr>
            <w:tcW w:type="dxa" w:w="3096"/>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left"/>
            </w:pPr>
            <w:r>
              <w:rPr>
                <w:rFonts w:ascii="Arial" w:hAnsi="Arial" w:eastAsia="Arial" w:cs="Arial"/>
                <w:b/>
                <w:bCs/>
                <w:sz w:val="16"/>
              </w:rPr>
              <w:t xml:space="preserve">Philadelphia Insurance Companies through CPH &amp; Associates</w:t>
            </w:r>
          </w:p>
        </w:tc>
        <w:tc>
          <w:tcPr>
            <w:tcW w:type="dxa" w:w="6048"/>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left"/>
            </w:pPr>
            <w:r>
              <w:rPr>
                <w:rFonts w:ascii="Arial" w:hAnsi="Arial" w:eastAsia="Arial" w:cs="Arial"/>
                <w:sz w:val="16"/>
              </w:rPr>
              <w:t xml:space="preserve">The cleanest exact match:</w:t>
            </w:r>
            <w:r>
              <w:rPr>
                <w:rFonts w:ascii="Arial" w:hAnsi="Arial" w:eastAsia="Arial" w:cs="Arial"/>
                <w:sz w:val="16"/>
              </w:rPr>
              <w:t xml:space="preserve"> </w:t>
            </w:r>
            <w:r>
              <w:rPr>
                <w:rFonts w:ascii="Arial" w:hAnsi="Arial" w:eastAsia="Arial" w:cs="Arial"/>
                <w:b/>
                <w:bCs/>
                <w:sz w:val="16"/>
              </w:rPr>
              <w:t xml:space="preserve">$1M per occurrence / $3M aggregate</w:t>
            </w:r>
            <w:r>
              <w:rPr>
                <w:rFonts w:ascii="Arial" w:hAnsi="Arial" w:eastAsia="Arial" w:cs="Arial"/>
                <w:sz w:val="16"/>
              </w:rPr>
              <w:t xml:space="preserve">, bodily injury/property damage, host liquor, damage to rented premises, no general-liability deductible, and venue additional insured at no additional premium. Prices</w:t>
            </w:r>
            <w:r>
              <w:rPr>
                <w:rFonts w:ascii="Arial" w:hAnsi="Arial" w:eastAsia="Arial" w:cs="Arial"/>
                <w:sz w:val="16"/>
              </w:rPr>
              <w:t xml:space="preserve"> </w:t>
            </w:r>
            <w:r>
              <w:rPr>
                <w:rFonts w:ascii="Arial" w:hAnsi="Arial" w:eastAsia="Arial" w:cs="Arial"/>
                <w:b/>
                <w:bCs/>
                <w:sz w:val="16"/>
              </w:rPr>
              <w:t xml:space="preserve">start at $175</w:t>
            </w:r>
            <w:r>
              <w:rPr>
                <w:rFonts w:ascii="Arial" w:hAnsi="Arial" w:eastAsia="Arial" w:cs="Arial"/>
                <w:sz w:val="16"/>
              </w:rPr>
              <w:t xml:space="preserve"> </w:t>
            </w:r>
            <w:r>
              <w:rPr>
                <w:rFonts w:ascii="Arial" w:hAnsi="Arial" w:eastAsia="Arial" w:cs="Arial"/>
                <w:sz w:val="16"/>
              </w:rPr>
              <w:t xml:space="preserve">and vary by event type and size. (</w:t>
            </w:r>
            <w:hyperlink r:id="rId26">
              <w:r>
                <w:rPr>
                  <w:rStyle w:val="Hyperlink"/>
                  <w:rFonts w:ascii="Arial" w:hAnsi="Arial" w:eastAsia="Arial" w:cs="Arial"/>
                  <w:sz w:val="16"/>
                </w:rPr>
                <w:t xml:space="preserve">phly.com</w:t>
              </w:r>
            </w:hyperlink>
            <w:r>
              <w:rPr>
                <w:rFonts w:ascii="Arial" w:hAnsi="Arial" w:eastAsia="Arial" w:cs="Arial"/>
                <w:sz w:val="16"/>
              </w:rPr>
              <w:t xml:space="preserve">)</w:t>
            </w:r>
          </w:p>
        </w:tc>
        <w:tc>
          <w:tcPr>
            <w:tcW w:type="dxa" w:w="4464"/>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left"/>
            </w:pPr>
            <w:r>
              <w:rPr>
                <w:rFonts w:ascii="Arial" w:hAnsi="Arial" w:eastAsia="Arial" w:cs="Arial"/>
                <w:sz w:val="16"/>
              </w:rPr>
              <w:t xml:space="preserve">Payment is requested when the application is completed, and documents are issued immediately after purchase. The quote is valid for 30 days. (</w:t>
            </w:r>
            <w:hyperlink r:id="rId26">
              <w:r>
                <w:rPr>
                  <w:rStyle w:val="Hyperlink"/>
                  <w:rFonts w:ascii="Arial" w:hAnsi="Arial" w:eastAsia="Arial" w:cs="Arial"/>
                  <w:sz w:val="16"/>
                </w:rPr>
                <w:t xml:space="preserve">phly.com</w:t>
              </w:r>
            </w:hyperlink>
            <w:r>
              <w:rPr>
                <w:rFonts w:ascii="Arial" w:hAnsi="Arial" w:eastAsia="Arial" w:cs="Arial"/>
                <w:sz w:val="16"/>
              </w:rPr>
              <w:t xml:space="preserve">)</w:t>
            </w:r>
          </w:p>
        </w:tc>
      </w:tr>
      <w:tr>
        <w:tc>
          <w:tcPr>
            <w:tcW w:type="dxa" w:w="792"/>
            <w:tcMar>
              <w:top w:w="70" w:type="dxa"/>
              <w:start w:w="90" w:type="dxa"/>
              <w:bottom w:w="70" w:type="dxa"/>
              <w:end w:w="90" w:type="dxa"/>
            </w:tcMar>
            <w:vAlign w:val="top"/>
          </w:tcPr>
          <w:p>
            <w:pPr>
              <w:pStyle w:val="Compact"/>
              <w:widowControl w:val="0"/>
              <w:spacing w:before="0" w:after="30" w:line="240" w:lineRule="auto"/>
              <w:ind w:left="0" w:right="0" w:firstLine="0"/>
              <w:jc w:val="center"/>
            </w:pPr>
            <w:r>
              <w:rPr>
                <w:rFonts w:ascii="Arial" w:hAnsi="Arial" w:eastAsia="Arial" w:cs="Arial"/>
                <w:b/>
                <w:bCs/>
                <w:sz w:val="16"/>
              </w:rPr>
              <w:t xml:space="preserve">3</w:t>
            </w:r>
          </w:p>
        </w:tc>
        <w:tc>
          <w:tcPr>
            <w:tcW w:type="dxa" w:w="3096"/>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b/>
                <w:bCs/>
                <w:sz w:val="16"/>
              </w:rPr>
              <w:t xml:space="preserve">RVNA / SpecialEventInsurance.com / Protect Your Nonprofit</w:t>
            </w:r>
          </w:p>
        </w:tc>
        <w:tc>
          <w:tcPr>
            <w:tcW w:type="dxa" w:w="6048"/>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sz w:val="16"/>
              </w:rPr>
              <w:t xml:space="preserve">Nonprofits can purchase one-day coverage without having an annual nonprofit policy. Event liability begins at</w:t>
            </w:r>
            <w:r>
              <w:rPr>
                <w:rFonts w:ascii="Arial" w:hAnsi="Arial" w:eastAsia="Arial" w:cs="Arial"/>
                <w:sz w:val="16"/>
              </w:rPr>
              <w:t xml:space="preserve"> </w:t>
            </w:r>
            <w:r>
              <w:rPr>
                <w:rFonts w:ascii="Arial" w:hAnsi="Arial" w:eastAsia="Arial" w:cs="Arial"/>
                <w:b/>
                <w:bCs/>
                <w:sz w:val="16"/>
              </w:rPr>
              <w:t xml:space="preserve">$199</w:t>
            </w:r>
            <w:r>
              <w:rPr>
                <w:rFonts w:ascii="Arial" w:hAnsi="Arial" w:eastAsia="Arial" w:cs="Arial"/>
                <w:sz w:val="16"/>
              </w:rPr>
              <w:t xml:space="preserve">, with limits available up to</w:t>
            </w:r>
            <w:r>
              <w:rPr>
                <w:rFonts w:ascii="Arial" w:hAnsi="Arial" w:eastAsia="Arial" w:cs="Arial"/>
                <w:sz w:val="16"/>
              </w:rPr>
              <w:t xml:space="preserve"> </w:t>
            </w:r>
            <w:r>
              <w:rPr>
                <w:rFonts w:ascii="Arial" w:hAnsi="Arial" w:eastAsia="Arial" w:cs="Arial"/>
                <w:b/>
                <w:bCs/>
                <w:sz w:val="16"/>
              </w:rPr>
              <w:t xml:space="preserve">$5M</w:t>
            </w:r>
            <w:r>
              <w:rPr>
                <w:rFonts w:ascii="Arial" w:hAnsi="Arial" w:eastAsia="Arial" w:cs="Arial"/>
                <w:sz w:val="16"/>
              </w:rPr>
              <w:t xml:space="preserve">. Host liquor and unlimited certificates are included; contractual liability, waiver of subrogation, damage to premises and other options are available. Note that the displayed damage-to-premises option has a $3,000 deductible. (</w:t>
            </w:r>
            <w:hyperlink r:id="rId27">
              <w:r>
                <w:rPr>
                  <w:rStyle w:val="Hyperlink"/>
                  <w:rFonts w:ascii="Arial" w:hAnsi="Arial" w:eastAsia="Arial" w:cs="Arial"/>
                  <w:sz w:val="16"/>
                </w:rPr>
                <w:t xml:space="preserve">protectyournonprofit.com</w:t>
              </w:r>
            </w:hyperlink>
            <w:r>
              <w:rPr>
                <w:rFonts w:ascii="Arial" w:hAnsi="Arial" w:eastAsia="Arial" w:cs="Arial"/>
                <w:sz w:val="16"/>
              </w:rPr>
              <w:t xml:space="preserve">)</w:t>
            </w:r>
          </w:p>
        </w:tc>
        <w:tc>
          <w:tcPr>
            <w:tcW w:type="dxa" w:w="4464"/>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sz w:val="16"/>
              </w:rPr>
              <w:t xml:space="preserve">This is the only provider page I found that publicly mentions a</w:t>
            </w:r>
            <w:r>
              <w:rPr>
                <w:rFonts w:ascii="Arial" w:hAnsi="Arial" w:eastAsia="Arial" w:cs="Arial"/>
                <w:sz w:val="16"/>
              </w:rPr>
              <w:t xml:space="preserve"> </w:t>
            </w:r>
            <w:r>
              <w:rPr>
                <w:rFonts w:ascii="Arial" w:hAnsi="Arial" w:eastAsia="Arial" w:cs="Arial"/>
                <w:b/>
                <w:bCs/>
                <w:sz w:val="16"/>
              </w:rPr>
              <w:t xml:space="preserve">payment plan</w:t>
            </w:r>
            <w:r>
              <w:rPr>
                <w:rFonts w:ascii="Arial" w:hAnsi="Arial" w:eastAsia="Arial" w:cs="Arial"/>
                <w:sz w:val="16"/>
              </w:rPr>
              <w:t xml:space="preserve">. However, the embedded form also calls itself a</w:t>
            </w:r>
            <w:r>
              <w:rPr>
                <w:rFonts w:ascii="Arial" w:hAnsi="Arial" w:eastAsia="Arial" w:cs="Arial"/>
                <w:sz w:val="16"/>
              </w:rPr>
              <w:t xml:space="preserve"> </w:t>
            </w:r>
            <w:r>
              <w:rPr>
                <w:rFonts w:ascii="Arial" w:hAnsi="Arial" w:eastAsia="Arial" w:cs="Arial"/>
                <w:sz w:val="16"/>
              </w:rPr>
              <w:t xml:space="preserve">“</w:t>
            </w:r>
            <w:r>
              <w:rPr>
                <w:rFonts w:ascii="Arial" w:hAnsi="Arial" w:eastAsia="Arial" w:cs="Arial"/>
                <w:sz w:val="16"/>
              </w:rPr>
              <w:t xml:space="preserve">Professional Liability application,</w:t>
            </w:r>
            <w:r>
              <w:rPr>
                <w:rFonts w:ascii="Arial" w:hAnsi="Arial" w:eastAsia="Arial" w:cs="Arial"/>
                <w:sz w:val="16"/>
              </w:rPr>
              <w:t xml:space="preserve">”</w:t>
            </w:r>
            <w:r>
              <w:rPr>
                <w:rFonts w:ascii="Arial" w:hAnsi="Arial" w:eastAsia="Arial" w:cs="Arial"/>
                <w:sz w:val="16"/>
              </w:rPr>
              <w:t xml:space="preserve"> </w:t>
            </w:r>
            <w:r>
              <w:rPr>
                <w:rFonts w:ascii="Arial" w:hAnsi="Arial" w:eastAsia="Arial" w:cs="Arial"/>
                <w:sz w:val="16"/>
              </w:rPr>
              <w:t xml:space="preserve">so confirm that the payment plan actually applies to this one-day event policy and ask what initial payment is required before the certificate is issued. Call</w:t>
            </w:r>
            <w:r>
              <w:rPr>
                <w:rFonts w:ascii="Arial" w:hAnsi="Arial" w:eastAsia="Arial" w:cs="Arial"/>
                <w:sz w:val="16"/>
              </w:rPr>
              <w:t xml:space="preserve"> </w:t>
            </w:r>
            <w:r>
              <w:rPr>
                <w:rFonts w:ascii="Arial" w:hAnsi="Arial" w:eastAsia="Arial" w:cs="Arial"/>
                <w:b/>
                <w:bCs/>
                <w:sz w:val="16"/>
              </w:rPr>
              <w:t xml:space="preserve">1-800-364-2433</w:t>
            </w:r>
            <w:r>
              <w:rPr>
                <w:rFonts w:ascii="Arial" w:hAnsi="Arial" w:eastAsia="Arial" w:cs="Arial"/>
                <w:sz w:val="16"/>
              </w:rPr>
              <w:t xml:space="preserve">. (</w:t>
            </w:r>
            <w:hyperlink r:id="rId28">
              <w:r>
                <w:rPr>
                  <w:rStyle w:val="Hyperlink"/>
                  <w:rFonts w:ascii="Arial" w:hAnsi="Arial" w:eastAsia="Arial" w:cs="Arial"/>
                  <w:sz w:val="16"/>
                </w:rPr>
                <w:t xml:space="preserve">rvnuccio.com</w:t>
              </w:r>
            </w:hyperlink>
            <w:r>
              <w:rPr>
                <w:rFonts w:ascii="Arial" w:hAnsi="Arial" w:eastAsia="Arial" w:cs="Arial"/>
                <w:sz w:val="16"/>
              </w:rPr>
              <w:t xml:space="preserve">)</w:t>
            </w:r>
          </w:p>
        </w:tc>
      </w:tr>
      <w:tr>
        <w:tc>
          <w:tcPr>
            <w:tcW w:type="dxa" w:w="792"/>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center"/>
            </w:pPr>
            <w:r>
              <w:rPr>
                <w:rFonts w:ascii="Arial" w:hAnsi="Arial" w:eastAsia="Arial" w:cs="Arial"/>
                <w:b/>
                <w:bCs/>
                <w:sz w:val="16"/>
              </w:rPr>
              <w:t xml:space="preserve">4</w:t>
            </w:r>
          </w:p>
        </w:tc>
        <w:tc>
          <w:tcPr>
            <w:tcW w:type="dxa" w:w="3096"/>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left"/>
            </w:pPr>
            <w:r>
              <w:rPr>
                <w:rFonts w:ascii="Arial" w:hAnsi="Arial" w:eastAsia="Arial" w:cs="Arial"/>
                <w:b/>
                <w:bCs/>
                <w:sz w:val="16"/>
              </w:rPr>
              <w:t xml:space="preserve">Eventsured</w:t>
            </w:r>
          </w:p>
        </w:tc>
        <w:tc>
          <w:tcPr>
            <w:tcW w:type="dxa" w:w="6048"/>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left"/>
            </w:pPr>
            <w:r>
              <w:rPr>
                <w:rFonts w:ascii="Arial" w:hAnsi="Arial" w:eastAsia="Arial" w:cs="Arial"/>
                <w:sz w:val="16"/>
              </w:rPr>
              <w:t xml:space="preserve">Nationwide online coverage for concerts, fundraisers, conferences, theater and musical performances, shows and other events. It offers customizable limits, venue additional insureds, and host or retail liquor options. There is no reliable public price for your required $3M aggregate limit, so select or request</w:t>
            </w:r>
            <w:r>
              <w:rPr>
                <w:rFonts w:ascii="Arial" w:hAnsi="Arial" w:eastAsia="Arial" w:cs="Arial"/>
                <w:sz w:val="16"/>
              </w:rPr>
              <w:t xml:space="preserve"> </w:t>
            </w:r>
            <w:r>
              <w:rPr>
                <w:rFonts w:ascii="Arial" w:hAnsi="Arial" w:eastAsia="Arial" w:cs="Arial"/>
                <w:b/>
                <w:bCs/>
                <w:sz w:val="16"/>
              </w:rPr>
              <w:t xml:space="preserve">$1M/$3M specifically</w:t>
            </w:r>
            <w:r>
              <w:rPr>
                <w:rFonts w:ascii="Arial" w:hAnsi="Arial" w:eastAsia="Arial" w:cs="Arial"/>
                <w:sz w:val="16"/>
              </w:rPr>
              <w:t xml:space="preserve">. (</w:t>
            </w:r>
            <w:hyperlink r:id="rId29">
              <w:r>
                <w:rPr>
                  <w:rStyle w:val="Hyperlink"/>
                  <w:rFonts w:ascii="Arial" w:hAnsi="Arial" w:eastAsia="Arial" w:cs="Arial"/>
                  <w:sz w:val="16"/>
                </w:rPr>
                <w:t xml:space="preserve">eventsured.com</w:t>
              </w:r>
            </w:hyperlink>
            <w:r>
              <w:rPr>
                <w:rFonts w:ascii="Arial" w:hAnsi="Arial" w:eastAsia="Arial" w:cs="Arial"/>
                <w:sz w:val="16"/>
              </w:rPr>
              <w:t xml:space="preserve">)</w:t>
            </w:r>
          </w:p>
        </w:tc>
        <w:tc>
          <w:tcPr>
            <w:tcW w:type="dxa" w:w="4464"/>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left"/>
            </w:pPr>
            <w:r>
              <w:rPr>
                <w:rFonts w:ascii="Arial" w:hAnsi="Arial" w:eastAsia="Arial" w:cs="Arial"/>
                <w:sz w:val="16"/>
              </w:rPr>
              <w:t xml:space="preserve">The quoted policy is purchased by credit card, after which documents are emailed immediately. No delayed-payment option is advertised. (</w:t>
            </w:r>
            <w:hyperlink r:id="rId29">
              <w:r>
                <w:rPr>
                  <w:rStyle w:val="Hyperlink"/>
                  <w:rFonts w:ascii="Arial" w:hAnsi="Arial" w:eastAsia="Arial" w:cs="Arial"/>
                  <w:sz w:val="16"/>
                </w:rPr>
                <w:t xml:space="preserve">eventsured.com</w:t>
              </w:r>
            </w:hyperlink>
            <w:r>
              <w:rPr>
                <w:rFonts w:ascii="Arial" w:hAnsi="Arial" w:eastAsia="Arial" w:cs="Arial"/>
                <w:sz w:val="16"/>
              </w:rPr>
              <w:t xml:space="preserve">)</w:t>
            </w:r>
          </w:p>
        </w:tc>
      </w:tr>
      <w:tr>
        <w:tc>
          <w:tcPr>
            <w:tcW w:type="dxa" w:w="792"/>
            <w:tcMar>
              <w:top w:w="70" w:type="dxa"/>
              <w:start w:w="90" w:type="dxa"/>
              <w:bottom w:w="70" w:type="dxa"/>
              <w:end w:w="90" w:type="dxa"/>
            </w:tcMar>
            <w:vAlign w:val="top"/>
          </w:tcPr>
          <w:p>
            <w:pPr>
              <w:pStyle w:val="Compact"/>
              <w:widowControl w:val="0"/>
              <w:spacing w:before="0" w:after="30" w:line="240" w:lineRule="auto"/>
              <w:ind w:left="0" w:right="0" w:firstLine="0"/>
              <w:jc w:val="center"/>
            </w:pPr>
            <w:r>
              <w:rPr>
                <w:rFonts w:ascii="Arial" w:hAnsi="Arial" w:eastAsia="Arial" w:cs="Arial"/>
                <w:b/>
                <w:bCs/>
                <w:sz w:val="16"/>
              </w:rPr>
              <w:t xml:space="preserve">5</w:t>
            </w:r>
          </w:p>
        </w:tc>
        <w:tc>
          <w:tcPr>
            <w:tcW w:type="dxa" w:w="3096"/>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b/>
                <w:bCs/>
                <w:sz w:val="16"/>
              </w:rPr>
              <w:t xml:space="preserve">ESP Specialty</w:t>
            </w:r>
          </w:p>
        </w:tc>
        <w:tc>
          <w:tcPr>
            <w:tcW w:type="dxa" w:w="6048"/>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sz w:val="16"/>
              </w:rPr>
              <w:t xml:space="preserve">Advertises prices starting at</w:t>
            </w:r>
            <w:r>
              <w:rPr>
                <w:rFonts w:ascii="Arial" w:hAnsi="Arial" w:eastAsia="Arial" w:cs="Arial"/>
                <w:sz w:val="16"/>
              </w:rPr>
              <w:t xml:space="preserve"> </w:t>
            </w:r>
            <w:r>
              <w:rPr>
                <w:rFonts w:ascii="Arial" w:hAnsi="Arial" w:eastAsia="Arial" w:cs="Arial"/>
                <w:b/>
                <w:bCs/>
                <w:sz w:val="16"/>
              </w:rPr>
              <w:t xml:space="preserve">$110</w:t>
            </w:r>
            <w:r>
              <w:rPr>
                <w:rFonts w:ascii="Arial" w:hAnsi="Arial" w:eastAsia="Arial" w:cs="Arial"/>
                <w:sz w:val="16"/>
              </w:rPr>
              <w:t xml:space="preserve">, but its standard limit is only</w:t>
            </w:r>
            <w:r>
              <w:rPr>
                <w:rFonts w:ascii="Arial" w:hAnsi="Arial" w:eastAsia="Arial" w:cs="Arial"/>
                <w:sz w:val="16"/>
              </w:rPr>
              <w:t xml:space="preserve"> </w:t>
            </w:r>
            <w:r>
              <w:rPr>
                <w:rFonts w:ascii="Arial" w:hAnsi="Arial" w:eastAsia="Arial" w:cs="Arial"/>
                <w:b/>
                <w:bCs/>
                <w:sz w:val="16"/>
              </w:rPr>
              <w:t xml:space="preserve">$1M/$2M and therefore does not meet your contract</w:t>
            </w:r>
            <w:r>
              <w:rPr>
                <w:rFonts w:ascii="Arial" w:hAnsi="Arial" w:eastAsia="Arial" w:cs="Arial"/>
                <w:sz w:val="16"/>
              </w:rPr>
              <w:t xml:space="preserve">. ESP offers excess limits up to $10M, so request the base policy plus enough excess coverage to produce at least a $3M aggregate, and compare the total—not the $110 advertisement. (</w:t>
            </w:r>
            <w:hyperlink r:id="rId30">
              <w:r>
                <w:rPr>
                  <w:rStyle w:val="Hyperlink"/>
                  <w:rFonts w:ascii="Arial" w:hAnsi="Arial" w:eastAsia="Arial" w:cs="Arial"/>
                  <w:sz w:val="16"/>
                </w:rPr>
                <w:t xml:space="preserve">espspecialty.com</w:t>
              </w:r>
            </w:hyperlink>
            <w:r>
              <w:rPr>
                <w:rFonts w:ascii="Arial" w:hAnsi="Arial" w:eastAsia="Arial" w:cs="Arial"/>
                <w:sz w:val="16"/>
              </w:rPr>
              <w:t xml:space="preserve">)</w:t>
            </w:r>
          </w:p>
        </w:tc>
        <w:tc>
          <w:tcPr>
            <w:tcW w:type="dxa" w:w="4464"/>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sz w:val="16"/>
              </w:rPr>
              <w:t xml:space="preserve">Custom quote. Payment terms are not publicly stated. Call</w:t>
            </w:r>
            <w:r>
              <w:rPr>
                <w:rFonts w:ascii="Arial" w:hAnsi="Arial" w:eastAsia="Arial" w:cs="Arial"/>
                <w:sz w:val="16"/>
              </w:rPr>
              <w:t xml:space="preserve"> </w:t>
            </w:r>
            <w:r>
              <w:rPr>
                <w:rFonts w:ascii="Arial" w:hAnsi="Arial" w:eastAsia="Arial" w:cs="Arial"/>
                <w:b/>
                <w:bCs/>
                <w:sz w:val="16"/>
              </w:rPr>
              <w:t xml:space="preserve">877-670-2ESP</w:t>
            </w:r>
            <w:r>
              <w:rPr>
                <w:rFonts w:ascii="Arial" w:hAnsi="Arial" w:eastAsia="Arial" w:cs="Arial"/>
                <w:sz w:val="16"/>
              </w:rPr>
              <w:t xml:space="preserve">.</w:t>
            </w:r>
          </w:p>
        </w:tc>
      </w:tr>
      <w:tr>
        <w:tc>
          <w:tcPr>
            <w:tcW w:type="dxa" w:w="792"/>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center"/>
            </w:pPr>
            <w:r>
              <w:rPr>
                <w:rFonts w:ascii="Arial" w:hAnsi="Arial" w:eastAsia="Arial" w:cs="Arial"/>
                <w:b/>
                <w:bCs/>
                <w:sz w:val="16"/>
              </w:rPr>
              <w:t xml:space="preserve">6</w:t>
            </w:r>
          </w:p>
        </w:tc>
        <w:tc>
          <w:tcPr>
            <w:tcW w:type="dxa" w:w="3096"/>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left"/>
            </w:pPr>
            <w:r>
              <w:rPr>
                <w:rFonts w:ascii="Arial" w:hAnsi="Arial" w:eastAsia="Arial" w:cs="Arial"/>
                <w:b/>
                <w:bCs/>
                <w:sz w:val="16"/>
              </w:rPr>
              <w:t xml:space="preserve">PRO Insurance Managers</w:t>
            </w:r>
          </w:p>
        </w:tc>
        <w:tc>
          <w:tcPr>
            <w:tcW w:type="dxa" w:w="6048"/>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left"/>
            </w:pPr>
            <w:r>
              <w:rPr>
                <w:rFonts w:ascii="Arial" w:hAnsi="Arial" w:eastAsia="Arial" w:cs="Arial"/>
                <w:sz w:val="16"/>
              </w:rPr>
              <w:t xml:space="preserve">Standard coverage is $1M/$2M, but an optional</w:t>
            </w:r>
            <w:r>
              <w:rPr>
                <w:rFonts w:ascii="Arial" w:hAnsi="Arial" w:eastAsia="Arial" w:cs="Arial"/>
                <w:sz w:val="16"/>
              </w:rPr>
              <w:t xml:space="preserve"> </w:t>
            </w:r>
            <w:r>
              <w:rPr>
                <w:rFonts w:ascii="Arial" w:hAnsi="Arial" w:eastAsia="Arial" w:cs="Arial"/>
                <w:b/>
                <w:bCs/>
                <w:sz w:val="16"/>
              </w:rPr>
              <w:t xml:space="preserve">$2M per occurrence / $3M aggregate</w:t>
            </w:r>
            <w:r>
              <w:rPr>
                <w:rFonts w:ascii="Arial" w:hAnsi="Arial" w:eastAsia="Arial" w:cs="Arial"/>
                <w:sz w:val="16"/>
              </w:rPr>
              <w:t xml:space="preserve"> </w:t>
            </w:r>
            <w:r>
              <w:rPr>
                <w:rFonts w:ascii="Arial" w:hAnsi="Arial" w:eastAsia="Arial" w:cs="Arial"/>
                <w:sz w:val="16"/>
              </w:rPr>
              <w:t xml:space="preserve">limit is available. It also offers primary wording, waiver of subrogation, host or retail liquor coverage, and additional-insured certificates without charge. (</w:t>
            </w:r>
            <w:hyperlink r:id="rId31">
              <w:r>
                <w:rPr>
                  <w:rStyle w:val="Hyperlink"/>
                  <w:rFonts w:ascii="Arial" w:hAnsi="Arial" w:eastAsia="Arial" w:cs="Arial"/>
                  <w:sz w:val="16"/>
                </w:rPr>
                <w:t xml:space="preserve">pro4.us</w:t>
              </w:r>
            </w:hyperlink>
            <w:r>
              <w:rPr>
                <w:rFonts w:ascii="Arial" w:hAnsi="Arial" w:eastAsia="Arial" w:cs="Arial"/>
                <w:sz w:val="16"/>
              </w:rPr>
              <w:t xml:space="preserve">)</w:t>
            </w:r>
          </w:p>
        </w:tc>
        <w:tc>
          <w:tcPr>
            <w:tcW w:type="dxa" w:w="4464"/>
            <w:tcMar>
              <w:top w:w="70" w:type="dxa"/>
              <w:start w:w="90" w:type="dxa"/>
              <w:bottom w:w="70" w:type="dxa"/>
              <w:end w:w="90" w:type="dxa"/>
            </w:tcMar>
            <w:vAlign w:val="top"/>
            <w:shd w:val="clear" w:color="auto" w:fill="F7F9FC"/>
          </w:tcPr>
          <w:p>
            <w:pPr>
              <w:pStyle w:val="Compact"/>
              <w:widowControl w:val="0"/>
              <w:spacing w:before="0" w:after="30" w:line="240" w:lineRule="auto"/>
              <w:ind w:left="0" w:right="0" w:firstLine="0"/>
              <w:jc w:val="left"/>
            </w:pPr>
            <w:r>
              <w:rPr>
                <w:rFonts w:ascii="Arial" w:hAnsi="Arial" w:eastAsia="Arial" w:cs="Arial"/>
                <w:sz w:val="16"/>
              </w:rPr>
              <w:t xml:space="preserve">Quote required. Call</w:t>
            </w:r>
            <w:r>
              <w:rPr>
                <w:rFonts w:ascii="Arial" w:hAnsi="Arial" w:eastAsia="Arial" w:cs="Arial"/>
                <w:sz w:val="16"/>
              </w:rPr>
              <w:t xml:space="preserve"> </w:t>
            </w:r>
            <w:r>
              <w:rPr>
                <w:rFonts w:ascii="Arial" w:hAnsi="Arial" w:eastAsia="Arial" w:cs="Arial"/>
                <w:b/>
                <w:bCs/>
                <w:sz w:val="16"/>
              </w:rPr>
              <w:t xml:space="preserve">800-821-7383</w:t>
            </w:r>
            <w:r>
              <w:rPr>
                <w:rFonts w:ascii="Arial" w:hAnsi="Arial" w:eastAsia="Arial" w:cs="Arial"/>
                <w:sz w:val="16"/>
              </w:rPr>
              <w:t xml:space="preserve">. Ask about payment timing and whether $1M/$3M or $2M/$3M is less expensive.</w:t>
            </w:r>
          </w:p>
        </w:tc>
      </w:tr>
      <w:tr>
        <w:tc>
          <w:tcPr>
            <w:tcW w:type="dxa" w:w="792"/>
            <w:tcMar>
              <w:top w:w="70" w:type="dxa"/>
              <w:start w:w="90" w:type="dxa"/>
              <w:bottom w:w="70" w:type="dxa"/>
              <w:end w:w="90" w:type="dxa"/>
            </w:tcMar>
            <w:vAlign w:val="top"/>
          </w:tcPr>
          <w:p>
            <w:pPr>
              <w:pStyle w:val="Compact"/>
              <w:widowControl w:val="0"/>
              <w:spacing w:before="0" w:after="30" w:line="240" w:lineRule="auto"/>
              <w:ind w:left="0" w:right="0" w:firstLine="0"/>
              <w:jc w:val="center"/>
            </w:pPr>
            <w:r>
              <w:rPr>
                <w:rFonts w:ascii="Arial" w:hAnsi="Arial" w:eastAsia="Arial" w:cs="Arial"/>
                <w:b/>
                <w:bCs/>
                <w:sz w:val="16"/>
              </w:rPr>
              <w:t xml:space="preserve">7</w:t>
            </w:r>
          </w:p>
        </w:tc>
        <w:tc>
          <w:tcPr>
            <w:tcW w:type="dxa" w:w="3096"/>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b/>
                <w:bCs/>
                <w:sz w:val="16"/>
              </w:rPr>
              <w:t xml:space="preserve">American Insurance Specialists / EQ Group</w:t>
            </w:r>
          </w:p>
        </w:tc>
        <w:tc>
          <w:tcPr>
            <w:tcW w:type="dxa" w:w="6048"/>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sz w:val="16"/>
              </w:rPr>
              <w:t xml:space="preserve">Particularly useful if your auditorium event is a concert, musical performance or other entertainment event. Its published package has exactly</w:t>
            </w:r>
            <w:r>
              <w:rPr>
                <w:rFonts w:ascii="Arial" w:hAnsi="Arial" w:eastAsia="Arial" w:cs="Arial"/>
                <w:sz w:val="16"/>
              </w:rPr>
              <w:t xml:space="preserve"> </w:t>
            </w:r>
            <w:r>
              <w:rPr>
                <w:rFonts w:ascii="Arial" w:hAnsi="Arial" w:eastAsia="Arial" w:cs="Arial"/>
                <w:b/>
                <w:bCs/>
                <w:sz w:val="16"/>
              </w:rPr>
              <w:t xml:space="preserve">$1M per occurrence / $3M aggregate</w:t>
            </w:r>
            <w:r>
              <w:rPr>
                <w:rFonts w:ascii="Arial" w:hAnsi="Arial" w:eastAsia="Arial" w:cs="Arial"/>
                <w:sz w:val="16"/>
              </w:rPr>
              <w:t xml:space="preserve">, $100,000 damage to leased premises, contractual liability, host liquor, setup and takedown coverage, and free venue additional-insured status. Limits up to $11M are available. (</w:t>
            </w:r>
            <w:hyperlink r:id="rId32">
              <w:r>
                <w:rPr>
                  <w:rStyle w:val="Hyperlink"/>
                  <w:rFonts w:ascii="Arial" w:hAnsi="Arial" w:eastAsia="Arial" w:cs="Arial"/>
                  <w:sz w:val="16"/>
                </w:rPr>
                <w:t xml:space="preserve">eqgroup.com</w:t>
              </w:r>
            </w:hyperlink>
            <w:r>
              <w:rPr>
                <w:rFonts w:ascii="Arial" w:hAnsi="Arial" w:eastAsia="Arial" w:cs="Arial"/>
                <w:sz w:val="16"/>
              </w:rPr>
              <w:t xml:space="preserve">)</w:t>
            </w:r>
          </w:p>
        </w:tc>
        <w:tc>
          <w:tcPr>
            <w:tcW w:type="dxa" w:w="4464"/>
            <w:tcMar>
              <w:top w:w="70" w:type="dxa"/>
              <w:start w:w="90" w:type="dxa"/>
              <w:bottom w:w="70" w:type="dxa"/>
              <w:end w:w="90" w:type="dxa"/>
            </w:tcMar>
            <w:vAlign w:val="top"/>
          </w:tcPr>
          <w:p>
            <w:pPr>
              <w:pStyle w:val="Compact"/>
              <w:widowControl w:val="0"/>
              <w:spacing w:before="0" w:after="30" w:line="240" w:lineRule="auto"/>
              <w:ind w:left="0" w:right="0" w:firstLine="0"/>
              <w:jc w:val="left"/>
            </w:pPr>
            <w:r>
              <w:rPr>
                <w:rFonts w:ascii="Arial" w:hAnsi="Arial" w:eastAsia="Arial" w:cs="Arial"/>
                <w:sz w:val="16"/>
              </w:rPr>
              <w:t xml:space="preserve">Custom quote; it reports same-day quoting, binding and issuance. Call</w:t>
            </w:r>
            <w:r>
              <w:rPr>
                <w:rFonts w:ascii="Arial" w:hAnsi="Arial" w:eastAsia="Arial" w:cs="Arial"/>
                <w:sz w:val="16"/>
              </w:rPr>
              <w:t xml:space="preserve"> </w:t>
            </w:r>
            <w:r>
              <w:rPr>
                <w:rFonts w:ascii="Arial" w:hAnsi="Arial" w:eastAsia="Arial" w:cs="Arial"/>
                <w:b/>
                <w:bCs/>
                <w:sz w:val="16"/>
              </w:rPr>
              <w:t xml:space="preserve">480-666-5521</w:t>
            </w:r>
            <w:r>
              <w:rPr>
                <w:rFonts w:ascii="Arial" w:hAnsi="Arial" w:eastAsia="Arial" w:cs="Arial"/>
                <w:sz w:val="16"/>
              </w:rPr>
              <w:t xml:space="preserve">. (</w:t>
            </w:r>
            <w:hyperlink r:id="rId32">
              <w:r>
                <w:rPr>
                  <w:rStyle w:val="Hyperlink"/>
                  <w:rFonts w:ascii="Arial" w:hAnsi="Arial" w:eastAsia="Arial" w:cs="Arial"/>
                  <w:sz w:val="16"/>
                </w:rPr>
                <w:t xml:space="preserve">eqgroup.com</w:t>
              </w:r>
            </w:hyperlink>
            <w:r>
              <w:rPr>
                <w:rFonts w:ascii="Arial" w:hAnsi="Arial" w:eastAsia="Arial" w:cs="Arial"/>
                <w:sz w:val="16"/>
              </w:rPr>
              <w:t xml:space="preserve">)</w:t>
            </w:r>
          </w:p>
        </w:tc>
      </w:tr>
    </w:tbl>
    <w:p>
      <w:pPr>
        <w:sectPr>
          <w:pgSz w:w="15840" w:h="12240" w:orient="landscape"/>
          <w:pgMar w:top="605" w:bottom="605" w:left="720" w:right="720" w:header="288" w:footer="288"/>
        </w:sectPr>
      </w:pPr>
    </w:p>
    <w:bookmarkStart w:id="40" w:name="X8db03090d4b18854643433b4bf90dffa564446d"/>
    <w:p>
      <w:pPr>
        <w:pStyle w:val="Heading3"/>
      </w:pPr>
      <w:r>
        <w:t xml:space="preserve">Additional markets worth requesting quotes from</w:t>
      </w:r>
    </w:p>
    <w:p>
      <w:pPr>
        <w:pStyle w:val="FirstParagraph"/>
      </w:pPr>
      <w:r>
        <w:rPr>
          <w:b/>
          <w:bCs/>
        </w:rPr>
        <w:t xml:space="preserve">Private Event Insurance by Aon</w:t>
      </w:r>
      <w:r>
        <w:t xml:space="preserve"> </w:t>
      </w:r>
      <w:r>
        <w:t xml:space="preserve">is designed for fundraising dinners, nonprofit functions, business meetings and similar lower-risk private events, with limits up to $5 million for qualifying events. It is especially relevant if your event is invitation-only rather than open to the general public. (</w:t>
      </w:r>
      <w:hyperlink r:id="rId33">
        <w:r>
          <w:rPr>
            <w:rStyle w:val="Hyperlink"/>
          </w:rPr>
          <w:t xml:space="preserve">privateeventinsurance.com</w:t>
        </w:r>
      </w:hyperlink>
      <w:r>
        <w:t xml:space="preserve">)</w:t>
      </w:r>
    </w:p>
    <w:p>
      <w:pPr>
        <w:pStyle w:val="BodyText"/>
      </w:pPr>
      <w:r>
        <w:rPr>
          <w:b/>
          <w:bCs/>
        </w:rPr>
        <w:t xml:space="preserve">Event Insurance Now</w:t>
      </w:r>
      <w:r>
        <w:t xml:space="preserve"> </w:t>
      </w:r>
      <w:r>
        <w:t xml:space="preserve">offers online nationwide coverage for one- to ten-day public events, including concerts and festivals. Its public page does not specify whether $3 million aggregate is always selectable, so send the contract wording and obtain written confirmation before purchasing. (</w:t>
      </w:r>
      <w:hyperlink r:id="rId34">
        <w:r>
          <w:rPr>
            <w:rStyle w:val="Hyperlink"/>
          </w:rPr>
          <w:t xml:space="preserve">eventinsurancenow.com</w:t>
        </w:r>
      </w:hyperlink>
      <w:r>
        <w:t xml:space="preserve">)</w:t>
      </w:r>
    </w:p>
    <w:p>
      <w:pPr>
        <w:pStyle w:val="BodyText"/>
      </w:pPr>
      <w:r>
        <w:rPr>
          <w:b/>
          <w:bCs/>
        </w:rPr>
        <w:t xml:space="preserve">USLI Main Event</w:t>
      </w:r>
      <w:r>
        <w:t xml:space="preserve"> </w:t>
      </w:r>
      <w:r>
        <w:t xml:space="preserve">covers one-day, multi-day and annual events with as many as 20,000 attendees. It is placed through an appointed insurance agent, making it a useful broker-assisted alternative when special endorsements are necessary. (</w:t>
      </w:r>
      <w:hyperlink r:id="rId35">
        <w:r>
          <w:rPr>
            <w:rStyle w:val="Hyperlink"/>
          </w:rPr>
          <w:t xml:space="preserve">usli.com</w:t>
        </w:r>
      </w:hyperlink>
      <w:r>
        <w:t xml:space="preserve">)</w:t>
      </w:r>
    </w:p>
    <w:p>
      <w:pPr>
        <w:pStyle w:val="BodyText"/>
      </w:pPr>
      <w:r>
        <w:rPr>
          <w:b/>
          <w:bCs/>
        </w:rPr>
        <w:t xml:space="preserve">SECURA</w:t>
      </w:r>
      <w:r>
        <w:t xml:space="preserve"> </w:t>
      </w:r>
      <w:r>
        <w:t xml:space="preserve">writes short-term event liability through independent agents and covers charity events, fundraisers, concerts, lectures, seminars and theater performances from setup through teardown. Its current public page does not publish limits or prices, so the agent must confirm $1 million/$3 million availability. (</w:t>
      </w:r>
      <w:hyperlink r:id="rId36">
        <w:r>
          <w:rPr>
            <w:rStyle w:val="Hyperlink"/>
          </w:rPr>
          <w:t xml:space="preserve">secura.net</w:t>
        </w:r>
      </w:hyperlink>
      <w:r>
        <w:t xml:space="preserve">)</w:t>
      </w:r>
    </w:p>
    <w:p>
      <w:pPr>
        <w:pStyle w:val="BodyText"/>
      </w:pPr>
      <w:r>
        <w:rPr>
          <w:b/>
          <w:bCs/>
        </w:rPr>
        <w:t xml:space="preserve">The Event Helper</w:t>
      </w:r>
      <w:r>
        <w:t xml:space="preserve"> </w:t>
      </w:r>
      <w:r>
        <w:t xml:space="preserve">publishes very low starting prices—$66 for a small wedding, about $125 for a 250-person trade show and about $400 for a 2,500-person music concert—but it does not publicly establish that these prices include a $3 million aggregate. Coverage begins only after payment. Use it as a price check, but do not buy unless the actual quote explicitly displays at least $1 million per occurrence and $3 million aggregate. (</w:t>
      </w:r>
      <w:hyperlink r:id="rId37">
        <w:r>
          <w:rPr>
            <w:rStyle w:val="Hyperlink"/>
          </w:rPr>
          <w:t xml:space="preserve">theeventhelper.com</w:t>
        </w:r>
      </w:hyperlink>
      <w:r>
        <w:t xml:space="preserve">)</w:t>
      </w:r>
    </w:p>
    <w:p>
      <w:pPr>
        <w:pStyle w:val="BodyText"/>
      </w:pPr>
      <w:r>
        <w:rPr>
          <w:b/>
          <w:bCs/>
        </w:rPr>
        <w:t xml:space="preserve">Insurance Canopy</w:t>
      </w:r>
      <w:r>
        <w:t xml:space="preserve"> </w:t>
      </w:r>
      <w:r>
        <w:t xml:space="preserve">has a $1 million/$2 million base policy, which by itself is insufficient, but it offers excess liability that can increase total limits to meet a $3 million requirement. Ask for the combined event-host and excess premium. (</w:t>
      </w:r>
      <w:hyperlink r:id="rId38">
        <w:r>
          <w:rPr>
            <w:rStyle w:val="Hyperlink"/>
          </w:rPr>
          <w:t xml:space="preserve">insurancecanopy.com</w:t>
        </w:r>
      </w:hyperlink>
      <w:r>
        <w:t xml:space="preserve">)</w:t>
      </w:r>
    </w:p>
    <w:p>
      <w:pPr>
        <w:pStyle w:val="BodyText"/>
      </w:pPr>
      <w:r>
        <w:rPr>
          <w:b/>
          <w:bCs/>
        </w:rPr>
        <w:t xml:space="preserve">GatherGuard</w:t>
      </w:r>
      <w:r>
        <w:t xml:space="preserve"> </w:t>
      </w:r>
      <w:r>
        <w:t xml:space="preserve">starts at $75, but its current product advertises general liability only up to $2 million. It does not satisfy this contract unless the college reduces its requirement or GatherGuard separately confirms an excess option. (</w:t>
      </w:r>
      <w:hyperlink r:id="rId39">
        <w:r>
          <w:rPr>
            <w:rStyle w:val="Hyperlink"/>
          </w:rPr>
          <w:t xml:space="preserve">gatherguard.com</w:t>
        </w:r>
      </w:hyperlink>
      <w:r>
        <w:t xml:space="preserve">)</w:t>
      </w:r>
    </w:p>
    <w:bookmarkEnd w:id="40"/>
    <w:bookmarkEnd w:id="41"/>
    <w:bookmarkStart w:id="47" w:name="massachusetts-and-cape-cod-brokers"/>
    <w:p>
      <w:pPr>
        <w:pStyle w:val="Heading2"/>
      </w:pPr>
      <w:r>
        <w:t xml:space="preserve">Massachusetts and Cape Cod brokers</w:t>
      </w:r>
    </w:p>
    <w:p>
      <w:pPr>
        <w:pStyle w:val="FirstParagraph"/>
      </w:pPr>
      <w:r>
        <w:t xml:space="preserve">A local broker is the preferable route if the college insists on literal named-insured status, a special 30-day cancellation endorsement, primary-and-noncontributory wording, waiver of subrogation, or unusual Commonwealth/college insured wording.</w:t>
      </w:r>
    </w:p>
    <w:p>
      <w:pPr>
        <w:pStyle w:val="Compact"/>
        <w:numPr>
          <w:ilvl w:val="0"/>
          <w:numId w:val="1002"/>
        </w:numPr>
      </w:pPr>
      <w:r>
        <w:rPr>
          <w:b/>
          <w:bCs/>
        </w:rPr>
        <w:t xml:space="preserve">Insurance Agency of Cape Cod</w:t>
      </w:r>
      <w:r>
        <w:t xml:space="preserve">, Sandwich:</w:t>
      </w:r>
      <w:r>
        <w:t xml:space="preserve"> </w:t>
      </w:r>
      <w:r>
        <w:rPr>
          <w:b/>
          <w:bCs/>
        </w:rPr>
        <w:t xml:space="preserve">508-888-2766</w:t>
      </w:r>
      <w:r>
        <w:t xml:space="preserve">. Its special-event application specifically accommodates nonprofit organizations, admission charges, alcohol, entertainment and additional insureds. (</w:t>
      </w:r>
      <w:hyperlink r:id="rId42">
        <w:r>
          <w:rPr>
            <w:rStyle w:val="Hyperlink"/>
          </w:rPr>
          <w:t xml:space="preserve">insuranceofcapecod.com</w:t>
        </w:r>
      </w:hyperlink>
      <w:r>
        <w:t xml:space="preserve">)</w:t>
      </w:r>
    </w:p>
    <w:p>
      <w:pPr>
        <w:pStyle w:val="Compact"/>
        <w:numPr>
          <w:ilvl w:val="0"/>
          <w:numId w:val="1002"/>
        </w:numPr>
      </w:pPr>
      <w:r>
        <w:rPr>
          <w:b/>
          <w:bCs/>
        </w:rPr>
        <w:t xml:space="preserve">Risman Insurance Agencies</w:t>
      </w:r>
      <w:r>
        <w:t xml:space="preserve">:</w:t>
      </w:r>
      <w:r>
        <w:t xml:space="preserve"> </w:t>
      </w:r>
      <w:r>
        <w:rPr>
          <w:b/>
          <w:bCs/>
        </w:rPr>
        <w:t xml:space="preserve">781-396-2116</w:t>
      </w:r>
      <w:r>
        <w:t xml:space="preserve">. It works with multiple carriers and handles Massachusetts nonprofit and performing-arts events. (</w:t>
      </w:r>
      <w:hyperlink r:id="rId43">
        <w:r>
          <w:rPr>
            <w:rStyle w:val="Hyperlink"/>
          </w:rPr>
          <w:t xml:space="preserve">risman.com</w:t>
        </w:r>
      </w:hyperlink>
      <w:r>
        <w:t xml:space="preserve">)</w:t>
      </w:r>
    </w:p>
    <w:p>
      <w:pPr>
        <w:pStyle w:val="Compact"/>
        <w:numPr>
          <w:ilvl w:val="0"/>
          <w:numId w:val="1002"/>
        </w:numPr>
      </w:pPr>
      <w:r>
        <w:rPr>
          <w:b/>
          <w:bCs/>
        </w:rPr>
        <w:t xml:space="preserve">K.D. Hicks Insurance Agency</w:t>
      </w:r>
      <w:r>
        <w:t xml:space="preserve">:</w:t>
      </w:r>
      <w:r>
        <w:t xml:space="preserve"> </w:t>
      </w:r>
      <w:r>
        <w:rPr>
          <w:b/>
          <w:bCs/>
        </w:rPr>
        <w:t xml:space="preserve">617-442-1300</w:t>
      </w:r>
      <w:r>
        <w:t xml:space="preserve">. It shops multiple companies for Massachusetts fundraisers, meetings and concerts. (</w:t>
      </w:r>
      <w:hyperlink r:id="rId44">
        <w:r>
          <w:rPr>
            <w:rStyle w:val="Hyperlink"/>
          </w:rPr>
          <w:t xml:space="preserve">kdhicksinsurance.com</w:t>
        </w:r>
      </w:hyperlink>
      <w:r>
        <w:t xml:space="preserve">)</w:t>
      </w:r>
    </w:p>
    <w:p>
      <w:pPr>
        <w:pStyle w:val="Compact"/>
        <w:numPr>
          <w:ilvl w:val="0"/>
          <w:numId w:val="1002"/>
        </w:numPr>
      </w:pPr>
      <w:r>
        <w:rPr>
          <w:b/>
          <w:bCs/>
        </w:rPr>
        <w:t xml:space="preserve">Feingold Insurance Agency</w:t>
      </w:r>
      <w:r>
        <w:t xml:space="preserve">:</w:t>
      </w:r>
      <w:r>
        <w:t xml:space="preserve"> </w:t>
      </w:r>
      <w:r>
        <w:rPr>
          <w:b/>
          <w:bCs/>
        </w:rPr>
        <w:t xml:space="preserve">508-831-9500</w:t>
      </w:r>
      <w:r>
        <w:t xml:space="preserve">. It places event coverage for Massachusetts nonprofits and organizations through independent markets. (</w:t>
      </w:r>
      <w:hyperlink r:id="rId45">
        <w:r>
          <w:rPr>
            <w:rStyle w:val="Hyperlink"/>
          </w:rPr>
          <w:t xml:space="preserve">feingoldco.com</w:t>
        </w:r>
      </w:hyperlink>
      <w:r>
        <w:t xml:space="preserve">)</w:t>
      </w:r>
    </w:p>
    <w:p>
      <w:pPr>
        <w:pStyle w:val="Compact"/>
        <w:numPr>
          <w:ilvl w:val="0"/>
          <w:numId w:val="1002"/>
        </w:numPr>
      </w:pPr>
      <w:r>
        <w:rPr>
          <w:b/>
          <w:bCs/>
        </w:rPr>
        <w:t xml:space="preserve">Gould Insurance</w:t>
      </w:r>
      <w:r>
        <w:t xml:space="preserve">,</w:t>
      </w:r>
      <w:r>
        <w:t xml:space="preserve"> </w:t>
      </w:r>
      <w:r>
        <w:rPr>
          <w:b/>
          <w:bCs/>
        </w:rPr>
        <w:t xml:space="preserve">Haberman Insurance</w:t>
      </w:r>
      <w:r>
        <w:t xml:space="preserve">,</w:t>
      </w:r>
      <w:r>
        <w:t xml:space="preserve"> </w:t>
      </w:r>
      <w:r>
        <w:rPr>
          <w:b/>
          <w:bCs/>
        </w:rPr>
        <w:t xml:space="preserve">Titan Insurance</w:t>
      </w:r>
      <w:r>
        <w:t xml:space="preserve">,</w:t>
      </w:r>
      <w:r>
        <w:t xml:space="preserve"> </w:t>
      </w:r>
      <w:r>
        <w:rPr>
          <w:b/>
          <w:bCs/>
        </w:rPr>
        <w:t xml:space="preserve">Cossio Insurance</w:t>
      </w:r>
      <w:r>
        <w:t xml:space="preserve"> </w:t>
      </w:r>
      <w:r>
        <w:t xml:space="preserve">and</w:t>
      </w:r>
      <w:r>
        <w:t xml:space="preserve"> </w:t>
      </w:r>
      <w:r>
        <w:rPr>
          <w:b/>
          <w:bCs/>
        </w:rPr>
        <w:t xml:space="preserve">O’Connor &amp; Co.</w:t>
      </w:r>
      <w:r>
        <w:t xml:space="preserve"> </w:t>
      </w:r>
      <w:r>
        <w:t xml:space="preserve">also advertise Massachusetts special-event placements. Ask each broker to identify the underlying carrier so that you do not mistake multiple quotes from the same insurer or K&amp;K/PHLY program for independent alternatives. (</w:t>
      </w:r>
      <w:hyperlink r:id="rId46">
        <w:r>
          <w:rPr>
            <w:rStyle w:val="Hyperlink"/>
          </w:rPr>
          <w:t xml:space="preserve">gouldinsurance.com</w:t>
        </w:r>
      </w:hyperlink>
      <w:r>
        <w:t xml:space="preserve">)</w:t>
      </w:r>
    </w:p>
    <w:bookmarkEnd w:id="47"/>
    <w:bookmarkStart w:id="48" w:name="Xc43b26a63537b48f140915f8fc09291fff9e884"/>
    <w:p>
      <w:pPr>
        <w:pStyle w:val="Heading2"/>
      </w:pPr>
      <w:r>
        <w:t xml:space="preserve">Can you obtain the policy now without paying immediately?</w:t>
      </w:r>
    </w:p>
    <w:p>
      <w:pPr>
        <w:pStyle w:val="FirstParagraph"/>
      </w:pPr>
      <w:r>
        <w:rPr>
          <w:b/>
          <w:bCs/>
        </w:rPr>
        <w:t xml:space="preserve">A true</w:t>
      </w:r>
      <w:r>
        <w:rPr>
          <w:b/>
          <w:bCs/>
        </w:rPr>
        <w:t xml:space="preserve"> </w:t>
      </w:r>
      <w:r>
        <w:rPr>
          <w:b/>
          <w:bCs/>
        </w:rPr>
        <w:t xml:space="preserve">“</w:t>
      </w:r>
      <w:r>
        <w:rPr>
          <w:b/>
          <w:bCs/>
        </w:rPr>
        <w:t xml:space="preserve">bind now, receive the certificate now, pay nothing now</w:t>
      </w:r>
      <w:r>
        <w:rPr>
          <w:b/>
          <w:bCs/>
        </w:rPr>
        <w:t xml:space="preserve">”</w:t>
      </w:r>
      <w:r>
        <w:rPr>
          <w:b/>
          <w:bCs/>
        </w:rPr>
        <w:t xml:space="preserve"> </w:t>
      </w:r>
      <w:r>
        <w:rPr>
          <w:b/>
          <w:bCs/>
        </w:rPr>
        <w:t xml:space="preserve">arrangement was not verified.</w:t>
      </w:r>
    </w:p>
    <w:p>
      <w:pPr>
        <w:pStyle w:val="BodyText"/>
      </w:pPr>
      <w:r>
        <w:t xml:space="preserve">The normal distinction is:</w:t>
      </w:r>
    </w:p>
    <w:p>
      <w:pPr>
        <w:pStyle w:val="Compact"/>
        <w:numPr>
          <w:ilvl w:val="0"/>
          <w:numId w:val="1003"/>
        </w:numPr>
      </w:pPr>
      <w:r>
        <w:rPr>
          <w:b/>
          <w:bCs/>
        </w:rPr>
        <w:t xml:space="preserve">Quote now:</w:t>
      </w:r>
      <w:r>
        <w:t xml:space="preserve"> </w:t>
      </w:r>
      <w:r>
        <w:t xml:space="preserve">generally no payment required.</w:t>
      </w:r>
    </w:p>
    <w:p>
      <w:pPr>
        <w:pStyle w:val="Compact"/>
        <w:numPr>
          <w:ilvl w:val="0"/>
          <w:numId w:val="1003"/>
        </w:numPr>
      </w:pPr>
      <w:r>
        <w:rPr>
          <w:b/>
          <w:bCs/>
        </w:rPr>
        <w:t xml:space="preserve">Bind the insurance and obtain the certificate:</w:t>
      </w:r>
      <w:r>
        <w:t xml:space="preserve"> </w:t>
      </w:r>
      <w:r>
        <w:t xml:space="preserve">usually payment or at least an initial financed payment is required.</w:t>
      </w:r>
    </w:p>
    <w:p>
      <w:pPr>
        <w:pStyle w:val="Compact"/>
        <w:numPr>
          <w:ilvl w:val="0"/>
          <w:numId w:val="1003"/>
        </w:numPr>
      </w:pPr>
      <w:r>
        <w:rPr>
          <w:b/>
          <w:bCs/>
        </w:rPr>
        <w:t xml:space="preserve">K&amp;K:</w:t>
      </w:r>
      <w:r>
        <w:t xml:space="preserve"> </w:t>
      </w:r>
      <w:r>
        <w:t xml:space="preserve">explicitly says coverage is not in effect until payment is received.</w:t>
      </w:r>
    </w:p>
    <w:p>
      <w:pPr>
        <w:pStyle w:val="Compact"/>
        <w:numPr>
          <w:ilvl w:val="0"/>
          <w:numId w:val="1003"/>
        </w:numPr>
      </w:pPr>
      <w:r>
        <w:rPr>
          <w:b/>
          <w:bCs/>
        </w:rPr>
        <w:t xml:space="preserve">PHLY:</w:t>
      </w:r>
      <w:r>
        <w:t xml:space="preserve"> </w:t>
      </w:r>
      <w:r>
        <w:t xml:space="preserve">asks for payment when the application is completed.</w:t>
      </w:r>
    </w:p>
    <w:p>
      <w:pPr>
        <w:pStyle w:val="Compact"/>
        <w:numPr>
          <w:ilvl w:val="0"/>
          <w:numId w:val="1003"/>
        </w:numPr>
      </w:pPr>
      <w:r>
        <w:rPr>
          <w:b/>
          <w:bCs/>
        </w:rPr>
        <w:t xml:space="preserve">Eventsured:</w:t>
      </w:r>
      <w:r>
        <w:t xml:space="preserve"> </w:t>
      </w:r>
      <w:r>
        <w:t xml:space="preserve">requires a credit-card purchase before issuing documents.</w:t>
      </w:r>
    </w:p>
    <w:p>
      <w:pPr>
        <w:pStyle w:val="Compact"/>
        <w:numPr>
          <w:ilvl w:val="0"/>
          <w:numId w:val="1003"/>
        </w:numPr>
      </w:pPr>
      <w:r>
        <w:rPr>
          <w:b/>
          <w:bCs/>
        </w:rPr>
        <w:t xml:space="preserve">The Event Helper:</w:t>
      </w:r>
      <w:r>
        <w:t xml:space="preserve"> </w:t>
      </w:r>
      <w:r>
        <w:t xml:space="preserve">says coverage starts when payment is made. (</w:t>
      </w:r>
      <w:hyperlink r:id="rId20">
        <w:r>
          <w:rPr>
            <w:rStyle w:val="Hyperlink"/>
          </w:rPr>
          <w:t xml:space="preserve">kandkinsurance.com</w:t>
        </w:r>
      </w:hyperlink>
      <w:r>
        <w:t xml:space="preserve">)</w:t>
      </w:r>
    </w:p>
    <w:p>
      <w:pPr>
        <w:pStyle w:val="FirstParagraph"/>
      </w:pPr>
      <w:r>
        <w:t xml:space="preserve">RVNA is the sole promising lead because it advertises a payment-plan choice, but obtain written confirmation of these four points:</w:t>
      </w:r>
    </w:p>
    <w:p>
      <w:pPr>
        <w:pStyle w:val="Compact"/>
        <w:numPr>
          <w:ilvl w:val="0"/>
          <w:numId w:val="1004"/>
        </w:numPr>
      </w:pPr>
      <w:r>
        <w:t xml:space="preserve">The payment plan applies to</w:t>
      </w:r>
      <w:r>
        <w:t xml:space="preserve"> </w:t>
      </w:r>
      <w:r>
        <w:rPr>
          <w:b/>
          <w:bCs/>
        </w:rPr>
        <w:t xml:space="preserve">short-term event liability</w:t>
      </w:r>
      <w:r>
        <w:t xml:space="preserve">, not another insurance product.</w:t>
      </w:r>
    </w:p>
    <w:p>
      <w:pPr>
        <w:pStyle w:val="Compact"/>
        <w:numPr>
          <w:ilvl w:val="0"/>
          <w:numId w:val="1004"/>
        </w:numPr>
      </w:pPr>
      <w:r>
        <w:t xml:space="preserve">The first payment can be less than the full premium.</w:t>
      </w:r>
    </w:p>
    <w:p>
      <w:pPr>
        <w:pStyle w:val="Compact"/>
        <w:numPr>
          <w:ilvl w:val="0"/>
          <w:numId w:val="1004"/>
        </w:numPr>
      </w:pPr>
      <w:r>
        <w:t xml:space="preserve">Coverage becomes effective after that first payment.</w:t>
      </w:r>
    </w:p>
    <w:p>
      <w:pPr>
        <w:pStyle w:val="Compact"/>
        <w:numPr>
          <w:ilvl w:val="0"/>
          <w:numId w:val="1004"/>
        </w:numPr>
      </w:pPr>
      <w:r>
        <w:t xml:space="preserve">The $1 million/$3 million certificate and additional-insured endorsement will be released immediately.</w:t>
      </w:r>
    </w:p>
    <w:p>
      <w:pPr>
        <w:pStyle w:val="FirstParagraph"/>
      </w:pPr>
      <w:r>
        <w:t xml:space="preserve">A local broker may also be able to arrange agency billing or premium financing, but that is not publicly guaranteed and may be impractical for a one-day premium in the $145–$435 range.</w:t>
      </w:r>
    </w:p>
    <w:bookmarkEnd w:id="48"/>
    <w:bookmarkStart w:id="50" w:name="X32378e91caaf3ef5ba59e256154910eba26c95a"/>
    <w:p>
      <w:pPr>
        <w:pStyle w:val="Heading2"/>
      </w:pPr>
      <w:r>
        <w:t xml:space="preserve">Message to send the college before purchasing</w:t>
      </w:r>
    </w:p>
    <w:p>
      <w:pPr>
        <w:pStyle w:val="BlockText"/>
        <w:pBdr>
          <w:left w:val="single" w:sz="10" w:space="5" w:color="1F4E79"/>
        </w:pBdr>
        <w:shd w:val="clear" w:color="auto" w:fill="F5F7FA"/>
      </w:pPr>
      <w:r>
        <w:rPr>
          <w:b/>
          <w:bCs/>
        </w:rPr>
        <w:t xml:space="preserve">Subject: Insurance wording confirmation – August 29 Tilden Arts Center event</w:t>
      </w:r>
    </w:p>
    <w:p>
      <w:pPr>
        <w:pStyle w:val="BlockText"/>
        <w:pBdr>
          <w:left w:val="single" w:sz="10" w:space="5" w:color="1F4E79"/>
        </w:pBdr>
        <w:shd w:val="clear" w:color="auto" w:fill="F5F7FA"/>
      </w:pPr>
      <w:r>
        <w:t xml:space="preserve">Before I bind the event liability policy, please confirm the following in writing:</w:t>
      </w:r>
    </w:p>
    <w:p>
      <w:pPr>
        <w:pStyle w:val="Compact"/>
        <w:numPr>
          <w:ilvl w:val="0"/>
          <w:numId w:val="1005"/>
        </w:numPr>
      </w:pPr>
      <w:r>
        <w:t xml:space="preserve">Does Section 10’s reference to Cape Cod Community College as a</w:t>
      </w:r>
      <w:r>
        <w:t xml:space="preserve"> </w:t>
      </w:r>
      <w:r>
        <w:t xml:space="preserve">“</w:t>
      </w:r>
      <w:r>
        <w:t xml:space="preserve">named insured</w:t>
      </w:r>
      <w:r>
        <w:t xml:space="preserve">”</w:t>
      </w:r>
      <w:r>
        <w:t xml:space="preserve"> </w:t>
      </w:r>
      <w:r>
        <w:t xml:space="preserve">mean that the college should be listed as an</w:t>
      </w:r>
      <w:r>
        <w:t xml:space="preserve"> </w:t>
      </w:r>
      <w:r>
        <w:rPr>
          <w:b/>
          <w:bCs/>
        </w:rPr>
        <w:t xml:space="preserve">additional insured by policy endorsement</w:t>
      </w:r>
      <w:r>
        <w:t xml:space="preserve">, with my nonprofit remaining the named insured?</w:t>
      </w:r>
    </w:p>
    <w:p>
      <w:pPr>
        <w:pStyle w:val="Compact"/>
        <w:numPr>
          <w:ilvl w:val="0"/>
          <w:numId w:val="1005"/>
        </w:numPr>
      </w:pPr>
      <w:r>
        <w:t xml:space="preserve">Please provide the exact legal name, address and required insured wording for Cape Cod Community College, the Commonwealth, trustees, officers or any other entities that must be listed.</w:t>
      </w:r>
    </w:p>
    <w:p>
      <w:pPr>
        <w:pStyle w:val="Compact"/>
        <w:numPr>
          <w:ilvl w:val="0"/>
          <w:numId w:val="1005"/>
        </w:numPr>
      </w:pPr>
      <w:r>
        <w:t xml:space="preserve">Section 10 says</w:t>
      </w:r>
      <w:r>
        <w:t xml:space="preserve"> </w:t>
      </w:r>
      <w:r>
        <w:t xml:space="preserve">“</w:t>
      </w:r>
      <w:r>
        <w:t xml:space="preserve">at least ten (30) days.</w:t>
      </w:r>
      <w:r>
        <w:t xml:space="preserve">”</w:t>
      </w:r>
      <w:r>
        <w:t xml:space="preserve"> </w:t>
      </w:r>
      <w:r>
        <w:t xml:space="preserve">Is the intended notice period 30 days?</w:t>
      </w:r>
    </w:p>
    <w:p>
      <w:pPr>
        <w:pStyle w:val="Compact"/>
        <w:numPr>
          <w:ilvl w:val="0"/>
          <w:numId w:val="1005"/>
        </w:numPr>
      </w:pPr>
      <w:r>
        <w:t xml:space="preserve">Must cancellation or modification notice be provided through an insurer-issued endorsement, or is written notice from the Licensee sufficient?</w:t>
      </w:r>
    </w:p>
    <w:p>
      <w:pPr>
        <w:pStyle w:val="Compact"/>
        <w:numPr>
          <w:ilvl w:val="0"/>
          <w:numId w:val="1005"/>
        </w:numPr>
      </w:pPr>
      <w:r>
        <w:t xml:space="preserve">Are primary-and-noncontributory wording, waiver of subrogation, contractual-liability coverage or a minimum</w:t>
      </w:r>
      <w:r>
        <w:t xml:space="preserve"> </w:t>
      </w:r>
      <w:r>
        <w:t xml:space="preserve">“</w:t>
      </w:r>
      <w:r>
        <w:t xml:space="preserve">Damage to Premises Rented to You</w:t>
      </w:r>
      <w:r>
        <w:t xml:space="preserve">”</w:t>
      </w:r>
      <w:r>
        <w:t xml:space="preserve"> </w:t>
      </w:r>
      <w:r>
        <w:t xml:space="preserve">limit required?</w:t>
      </w:r>
    </w:p>
    <w:p>
      <w:pPr>
        <w:pStyle w:val="Compact"/>
        <w:numPr>
          <w:ilvl w:val="0"/>
          <w:numId w:val="1005"/>
        </w:numPr>
      </w:pPr>
      <w:r>
        <w:t xml:space="preserve">What is the deadline for submitting the certificate and all endorsements?</w:t>
      </w:r>
    </w:p>
    <w:p>
      <w:pPr>
        <w:pStyle w:val="FirstParagraph"/>
      </w:pPr>
      <w:r>
        <w:t xml:space="preserve">Cape Cod Community College’s booking page lists the College Events Coordinator/Tilden Arts Center Director at</w:t>
      </w:r>
      <w:r>
        <w:t xml:space="preserve"> </w:t>
      </w:r>
      <w:r>
        <w:rPr>
          <w:b/>
          <w:bCs/>
        </w:rPr>
        <w:t xml:space="preserve">774-330-4704</w:t>
      </w:r>
      <w:r>
        <w:t xml:space="preserve"> </w:t>
      </w:r>
      <w:r>
        <w:t xml:space="preserve">and</w:t>
      </w:r>
      <w:r>
        <w:t xml:space="preserve"> </w:t>
      </w:r>
      <w:r>
        <w:rPr>
          <w:b/>
          <w:bCs/>
        </w:rPr>
        <w:t xml:space="preserve">gdunford@capecod.edu</w:t>
      </w:r>
      <w:r>
        <w:t xml:space="preserve">. The official venue address is</w:t>
      </w:r>
      <w:r>
        <w:t xml:space="preserve"> </w:t>
      </w:r>
      <w:r>
        <w:rPr>
          <w:b/>
          <w:bCs/>
        </w:rPr>
        <w:t xml:space="preserve">Tilden Arts Center, Cape Cod Community College, 2240 Iyannough Road, West Barnstable, MA 02668</w:t>
      </w:r>
      <w:r>
        <w:t xml:space="preserve">. (</w:t>
      </w:r>
      <w:hyperlink r:id="rId49">
        <w:r>
          <w:rPr>
            <w:rStyle w:val="Hyperlink"/>
          </w:rPr>
          <w:t xml:space="preserve">capecod.edu</w:t>
        </w:r>
      </w:hyperlink>
      <w:r>
        <w:t xml:space="preserve">)</w:t>
      </w:r>
    </w:p>
    <w:bookmarkEnd w:id="50"/>
    <w:bookmarkStart w:id="51" w:name="X06240c854e287bd26de84603d3104b80539acdc"/>
    <w:p>
      <w:pPr>
        <w:pStyle w:val="Heading2"/>
      </w:pPr>
      <w:r>
        <w:t xml:space="preserve">Information to use consistently in every quote</w:t>
      </w:r>
    </w:p>
    <w:p>
      <w:pPr>
        <w:pStyle w:val="FirstParagraph"/>
      </w:pPr>
      <w:r>
        <w:t xml:space="preserve">Give every provider exactly the same information so the prices are comparable:</w:t>
      </w:r>
    </w:p>
    <w:p>
      <w:pPr>
        <w:pStyle w:val="BlockText"/>
        <w:pBdr>
          <w:left w:val="single" w:sz="10" w:space="5" w:color="1F4E79"/>
        </w:pBdr>
        <w:shd w:val="clear" w:color="auto" w:fill="F5F7FA"/>
      </w:pPr>
      <w:r>
        <w:rPr>
          <w:b/>
          <w:bCs/>
        </w:rPr>
        <w:t xml:space="preserve">Named insured:</w:t>
      </w:r>
      <w:r>
        <w:t xml:space="preserve"> </w:t>
      </w:r>
      <w:r>
        <w:t xml:space="preserve">Exact Massachusetts-registered legal name of the nonprofit, plus any DBA</w:t>
      </w:r>
      <w:r>
        <w:br/>
      </w:r>
      <w:r>
        <w:rPr>
          <w:b/>
          <w:bCs/>
        </w:rPr>
        <w:t xml:space="preserve">Event:</w:t>
      </w:r>
      <w:r>
        <w:t xml:space="preserve"> </w:t>
      </w:r>
      <w:r>
        <w:t xml:space="preserve">Detailed description of what will happen</w:t>
      </w:r>
      <w:r>
        <w:br/>
      </w:r>
      <w:r>
        <w:rPr>
          <w:b/>
          <w:bCs/>
        </w:rPr>
        <w:t xml:space="preserve">Date:</w:t>
      </w:r>
      <w:r>
        <w:t xml:space="preserve"> </w:t>
      </w:r>
      <w:r>
        <w:t xml:space="preserve">August 29, 2026</w:t>
      </w:r>
      <w:r>
        <w:br/>
      </w:r>
      <w:r>
        <w:rPr>
          <w:b/>
          <w:bCs/>
        </w:rPr>
        <w:t xml:space="preserve">Coverage period:</w:t>
      </w:r>
      <w:r>
        <w:t xml:space="preserve"> </w:t>
      </w:r>
      <w:r>
        <w:t xml:space="preserve">All setup, event and teardown hours—not merely the four public hours</w:t>
      </w:r>
      <w:r>
        <w:br/>
      </w:r>
      <w:r>
        <w:rPr>
          <w:b/>
          <w:bCs/>
        </w:rPr>
        <w:t xml:space="preserve">Venue:</w:t>
      </w:r>
      <w:r>
        <w:t xml:space="preserve"> </w:t>
      </w:r>
      <w:r>
        <w:t xml:space="preserve">Tilden Arts Center Auditorium, Cape Cod Community College, 2240 Iyannough Road, West Barnstable, MA 02668</w:t>
      </w:r>
      <w:r>
        <w:br/>
      </w:r>
      <w:r>
        <w:rPr>
          <w:b/>
          <w:bCs/>
        </w:rPr>
        <w:t xml:space="preserve">Attendance:</w:t>
      </w:r>
      <w:r>
        <w:t xml:space="preserve"> </w:t>
      </w:r>
      <w:r>
        <w:t xml:space="preserve">Maximum expected attendance</w:t>
      </w:r>
      <w:r>
        <w:br/>
      </w:r>
      <w:r>
        <w:rPr>
          <w:b/>
          <w:bCs/>
        </w:rPr>
        <w:t xml:space="preserve">Access:</w:t>
      </w:r>
      <w:r>
        <w:t xml:space="preserve"> </w:t>
      </w:r>
      <w:r>
        <w:t xml:space="preserve">Invitation-only, free public admission, or ticketed</w:t>
      </w:r>
      <w:r>
        <w:br/>
      </w:r>
      <w:r>
        <w:rPr>
          <w:b/>
          <w:bCs/>
        </w:rPr>
        <w:t xml:space="preserve">Alcohol:</w:t>
      </w:r>
      <w:r>
        <w:t xml:space="preserve"> </w:t>
      </w:r>
      <w:r>
        <w:t xml:space="preserve">None, complimentary, BYOB, sold, included in admission, or donation-based</w:t>
      </w:r>
      <w:r>
        <w:br/>
      </w:r>
      <w:r>
        <w:rPr>
          <w:b/>
          <w:bCs/>
        </w:rPr>
        <w:t xml:space="preserve">Required limits:</w:t>
      </w:r>
      <w:r>
        <w:t xml:space="preserve"> </w:t>
      </w:r>
      <w:r>
        <w:t xml:space="preserve">Occurrence-form commercial general liability, at least $1 million each occurrence and $3 million general aggregate</w:t>
      </w:r>
      <w:r>
        <w:br/>
      </w:r>
      <w:r>
        <w:rPr>
          <w:b/>
          <w:bCs/>
        </w:rPr>
        <w:t xml:space="preserve">Required protections:</w:t>
      </w:r>
      <w:r>
        <w:t xml:space="preserve"> </w:t>
      </w:r>
      <w:r>
        <w:t xml:space="preserve">Bodily injury, death, property damage, damage to rented premises, venue additional insured by endorsement, and any cancellation notice/primary wording/waiver requirements confirmed by the college</w:t>
      </w:r>
      <w:r>
        <w:br/>
      </w:r>
      <w:r>
        <w:rPr>
          <w:b/>
          <w:bCs/>
        </w:rPr>
        <w:t xml:space="preserve">Pricing request:</w:t>
      </w:r>
      <w:r>
        <w:t xml:space="preserve"> </w:t>
      </w:r>
      <w:r>
        <w:t xml:space="preserve">Total premium including all taxes and fees, deductible, payment-plan terms, initial amount due, refund terms, carrier name and when the certificate will be issued</w:t>
      </w:r>
    </w:p>
    <w:p>
      <w:pPr>
        <w:pStyle w:val="FirstParagraph"/>
      </w:pPr>
      <w:r>
        <w:t xml:space="preserve">If alcohol is sold, included in the admission price, or provided in return for donations, do not rely solely on</w:t>
      </w:r>
      <w:r>
        <w:t xml:space="preserve"> </w:t>
      </w:r>
      <w:r>
        <w:t xml:space="preserve">“</w:t>
      </w:r>
      <w:r>
        <w:t xml:space="preserve">host liquor</w:t>
      </w:r>
      <w:r>
        <w:t xml:space="preserve">”</w:t>
      </w:r>
      <w:r>
        <w:t xml:space="preserve"> </w:t>
      </w:r>
      <w:r>
        <w:t xml:space="preserve">coverage; request separate liquor liability and verify who holds the required alcohol permit. (</w:t>
      </w:r>
      <w:hyperlink r:id="rId20">
        <w:r>
          <w:rPr>
            <w:rStyle w:val="Hyperlink"/>
          </w:rPr>
          <w:t xml:space="preserve">kandkinsurance.com</w:t>
        </w:r>
      </w:hyperlink>
      <w:r>
        <w:t xml:space="preserve">)</w:t>
      </w:r>
    </w:p>
    <w:p>
      <w:pPr>
        <w:pStyle w:val="BodyText"/>
        <w:spacing w:before="100" w:after="0"/>
      </w:pPr>
      <w:r>
        <w:rPr>
          <w:b/>
          <w:bCs/>
        </w:rPr>
        <w:t xml:space="preserve">Recommended purchasing order:</w:t>
      </w:r>
      <w:r>
        <w:t xml:space="preserve"> </w:t>
      </w:r>
      <w:r>
        <w:t xml:space="preserve">obtain written clarification from the college, then run identical quotes through</w:t>
      </w:r>
      <w:r>
        <w:t xml:space="preserve"> </w:t>
      </w:r>
      <w:r>
        <w:rPr>
          <w:b/>
          <w:bCs/>
        </w:rPr>
        <w:t xml:space="preserve">K&amp;K, PHLY/CPH, RVNA and Eventsured</w:t>
      </w:r>
      <w:r>
        <w:t xml:space="preserve">. For an invitation-only event with no alcohol and no more than 200 people, K&amp;K is the strongest published-price choice. For a public or ticketed event, treat K&amp;K’s $435 as the known benchmark and compare the actual PHLY, RVNA, Eventsured and ESP-with-excess totals against it. If the college insists on literal named-insured status or a special cancellation-notice endorsement, place the coverage through the Insurance Agency of Cape Cod or another Massachusetts broker rather than relying on a standard instant online policy.</w:t>
      </w:r>
    </w:p>
    <w:bookmarkEnd w:id="51"/>
    <w:bookmarkEnd w:id="52"/>
    <w:sectPr>
      <w:pgSz w:w="12240" w:h="15840"/>
      <w:pgMar w:top="835" w:bottom="893" w:left="1080" w:right="1080"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line="247" w:lineRule="auto"/>
    </w:pPr>
    <w:rPr>
      <w:rFonts w:ascii="Arial" w:hAnsi="Arial" w:eastAsia="Arial" w:cs="Arial"/>
      <w:sz w:val="20"/>
    </w:rPr>
  </w:style>
  <w:style w:styleId="BodyText" w:type="paragraph">
    <w:name w:val="Body Text"/>
    <w:basedOn w:val="Normal"/>
    <w:link w:val="BodyTextChar"/>
    <w:qFormat/>
    <w:pPr>
      <w:widowControl/>
      <w:spacing w:after="100" w:before="0" w:line="247" w:lineRule="auto"/>
      <w:ind w:left="0" w:right="0" w:firstLine="0"/>
    </w:pPr>
    <w:rPr>
      <w:rFonts w:ascii="Arial" w:hAnsi="Arial" w:eastAsia="Arial" w:cs="Arial"/>
      <w:sz w:val="20"/>
    </w:rPr>
  </w:style>
  <w:style w:customStyle="1" w:styleId="FirstParagraph" w:type="paragraph">
    <w:name w:val="First Paragraph"/>
    <w:basedOn w:val="BodyText"/>
    <w:next w:val="BodyText"/>
    <w:qFormat/>
    <w:pPr>
      <w:widowControl/>
      <w:spacing w:before="0" w:after="100" w:line="247" w:lineRule="auto"/>
      <w:ind w:left="0" w:right="0" w:firstLine="0"/>
    </w:pPr>
    <w:rPr>
      <w:rFonts w:ascii="Arial" w:hAnsi="Arial" w:eastAsia="Arial" w:cs="Arial"/>
      <w:sz w:val="20"/>
    </w:rPr>
  </w:style>
  <w:style w:customStyle="1" w:styleId="Compact" w:type="paragraph">
    <w:name w:val="Compact"/>
    <w:basedOn w:val="BodyText"/>
    <w:qFormat/>
    <w:pPr>
      <w:widowControl/>
      <w:spacing w:after="30" w:before="0" w:line="240" w:lineRule="auto"/>
    </w:pPr>
    <w:rPr>
      <w:rFonts w:ascii="Arial" w:hAnsi="Arial" w:eastAsia="Arial" w:cs="Arial"/>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0"/>
      <w:outlineLvl w:val="0"/>
    </w:pPr>
    <w:rPr>
      <w:rFonts w:asciiTheme="majorHAnsi" w:cstheme="majorBidi" w:eastAsiaTheme="majorEastAsia" w:hAnsiTheme="majorHAnsi" w:ascii="Arial" w:hAnsi="Arial" w:eastAsia="Arial" w:cs="Arial"/>
      <w:b/>
      <w:bCs/>
      <w:color w:val="1F4E79"/>
      <w:sz w:val="35"/>
      <w:szCs w:val="32"/>
    </w:rPr>
  </w:style>
  <w:style w:styleId="Heading2" w:type="paragraph">
    <w:name w:val="Heading 2"/>
    <w:basedOn w:val="Normal"/>
    <w:next w:val="BodyText"/>
    <w:uiPriority w:val="9"/>
    <w:unhideWhenUsed/>
    <w:qFormat/>
    <w:pPr>
      <w:keepNext/>
      <w:keepLines/>
      <w:spacing w:after="70" w:before="140"/>
      <w:outlineLvl w:val="1"/>
    </w:pPr>
    <w:rPr>
      <w:rFonts w:asciiTheme="majorHAnsi" w:cstheme="majorBidi" w:eastAsiaTheme="majorEastAsia" w:hAnsiTheme="majorHAnsi" w:ascii="Arial" w:hAnsi="Arial" w:eastAsia="Arial" w:cs="Arial"/>
      <w:b/>
      <w:bCs/>
      <w:color w:val="1F4E79"/>
      <w:sz w:val="27"/>
      <w:szCs w:val="28"/>
    </w:rPr>
  </w:style>
  <w:style w:styleId="Heading3" w:type="paragraph">
    <w:name w:val="Heading 3"/>
    <w:basedOn w:val="Normal"/>
    <w:next w:val="BodyText"/>
    <w:uiPriority w:val="9"/>
    <w:unhideWhenUsed/>
    <w:qFormat/>
    <w:pPr>
      <w:keepNext/>
      <w:keepLines/>
      <w:spacing w:after="50" w:before="110"/>
      <w:outlineLvl w:val="2"/>
    </w:pPr>
    <w:rPr>
      <w:rFonts w:asciiTheme="majorHAnsi" w:cstheme="majorBidi" w:eastAsiaTheme="majorEastAsia" w:hAnsiTheme="majorHAnsi" w:ascii="Arial" w:hAnsi="Arial" w:eastAsia="Arial" w:cs="Arial"/>
      <w:b/>
      <w:bCs/>
      <w:color w:val="1F4E79"/>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widowControl/>
      <w:spacing w:after="80" w:before="40" w:line="240" w:lineRule="auto"/>
      <w:ind w:left="547" w:right="173" w:firstLine="0"/>
    </w:pPr>
    <w:rPr>
      <w:rFonts w:ascii="Arial" w:hAnsi="Arial" w:eastAsia="Arial" w:cs="Arial"/>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Arial" w:hAnsi="Arial" w:eastAsia="Arial" w:cs="Arial"/>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hyperlink" Target="https://capecod.edu/book-a-space/?utm_source=chatgpt.com" TargetMode="External"/><Relationship Id="rId34" Type="http://schemas.openxmlformats.org/officeDocument/2006/relationships/hyperlink" Target="https://eventinsurancenow.com/" TargetMode="External"/><Relationship Id="rId39" Type="http://schemas.openxmlformats.org/officeDocument/2006/relationships/hyperlink" Target="https://gatherguard.com/" TargetMode="External"/><Relationship Id="rId46" Type="http://schemas.openxmlformats.org/officeDocument/2006/relationships/hyperlink" Target="https://gouldinsurance.com/event-insurance-massachusetts/?utm_source=chatgpt.com" TargetMode="External"/><Relationship Id="rId42" Type="http://schemas.openxmlformats.org/officeDocument/2006/relationships/hyperlink" Target="https://insuranceofcapecod.com/?utm_source=chatgpt.com" TargetMode="External"/><Relationship Id="rId44" Type="http://schemas.openxmlformats.org/officeDocument/2006/relationships/hyperlink" Target="https://kdhicksinsurance.com/business-insurance/special-event-insurance" TargetMode="External"/><Relationship Id="rId21" Type="http://schemas.openxmlformats.org/officeDocument/2006/relationships/hyperlink" Target="https://mcgriff.com/resources/articles/understanding-named-insureds-on-a-policy/" TargetMode="External"/><Relationship Id="rId31" Type="http://schemas.openxmlformats.org/officeDocument/2006/relationships/hyperlink" Target="https://pro4.us/event-insurance/non-ds/" TargetMode="External"/><Relationship Id="rId27" Type="http://schemas.openxmlformats.org/officeDocument/2006/relationships/hyperlink" Target="https://protectyournonprofit.com/one-day-event-insurance/" TargetMode="External"/><Relationship Id="rId23" Type="http://schemas.openxmlformats.org/officeDocument/2006/relationships/hyperlink" Target="https://www.acord.org/docs/default-source/forms/acordcertificatesfaq?utm_source=chatgpt.com" TargetMode="External"/><Relationship Id="rId32" Type="http://schemas.openxmlformats.org/officeDocument/2006/relationships/hyperlink" Target="https://www.eqgroup.com/concert_rock-rap/" TargetMode="External"/><Relationship Id="rId30" Type="http://schemas.openxmlformats.org/officeDocument/2006/relationships/hyperlink" Target="https://www.espspecialty.com/event-liability/" TargetMode="External"/><Relationship Id="rId29" Type="http://schemas.openxmlformats.org/officeDocument/2006/relationships/hyperlink" Target="https://www.eventsured.com/" TargetMode="External"/><Relationship Id="rId45" Type="http://schemas.openxmlformats.org/officeDocument/2006/relationships/hyperlink" Target="https://www.feingoldco.com/event-insurance-massachusetts/" TargetMode="External"/><Relationship Id="rId38" Type="http://schemas.openxmlformats.org/officeDocument/2006/relationships/hyperlink" Target="https://www.insurancecanopy.com/blog/how-to-get-event-host-insurance" TargetMode="External"/><Relationship Id="rId20" Type="http://schemas.openxmlformats.org/officeDocument/2006/relationships/hyperlink" Target="https://www.kandkinsurance.com/getmedia/7b44cdf7-d69e-417e-a0d0-f13021ddbe48/1023-ShortTerm-12-2025-final.pdf" TargetMode="External"/><Relationship Id="rId26" Type="http://schemas.openxmlformats.org/officeDocument/2006/relationships/hyperlink" Target="https://www.phly.com/products/special-events-general-liability-insurance" TargetMode="External"/><Relationship Id="rId33" Type="http://schemas.openxmlformats.org/officeDocument/2006/relationships/hyperlink" Target="https://www.privateeventinsurance.com/Pages/Business-Event-Liability-Insurance.aspx" TargetMode="External"/><Relationship Id="rId43" Type="http://schemas.openxmlformats.org/officeDocument/2006/relationships/hyperlink" Target="https://www.risman.com/business/event-insurance/" TargetMode="External"/><Relationship Id="rId28" Type="http://schemas.openxmlformats.org/officeDocument/2006/relationships/hyperlink" Target="https://www.rvnuccio.com/specialty-insurance-products/event-insurance/" TargetMode="External"/><Relationship Id="rId36" Type="http://schemas.openxmlformats.org/officeDocument/2006/relationships/hyperlink" Target="https://www.secura.net/business-insurance/events-insurance" TargetMode="External"/><Relationship Id="rId37" Type="http://schemas.openxmlformats.org/officeDocument/2006/relationships/hyperlink" Target="https://www.theeventhelper.com/" TargetMode="External"/><Relationship Id="rId35" Type="http://schemas.openxmlformats.org/officeDocument/2006/relationships/hyperlink" Target="https://www.usli.com/products/special-events/" TargetMode="External"/></Relationships>
</file>

<file path=word/_rels/footnotes.xml.rels><?xml version='1.0' encoding='UTF-8' standalone='yes'?>
<Relationships xmlns="http://schemas.openxmlformats.org/package/2006/relationships"><Relationship Id="rId49" Type="http://schemas.openxmlformats.org/officeDocument/2006/relationships/hyperlink" Target="https://capecod.edu/book-a-space/?utm_source=chatgpt.com" TargetMode="External"/><Relationship Id="rId34" Type="http://schemas.openxmlformats.org/officeDocument/2006/relationships/hyperlink" Target="https://eventinsurancenow.com/" TargetMode="External"/><Relationship Id="rId39" Type="http://schemas.openxmlformats.org/officeDocument/2006/relationships/hyperlink" Target="https://gatherguard.com/" TargetMode="External"/><Relationship Id="rId46" Type="http://schemas.openxmlformats.org/officeDocument/2006/relationships/hyperlink" Target="https://gouldinsurance.com/event-insurance-massachusetts/?utm_source=chatgpt.com" TargetMode="External"/><Relationship Id="rId42" Type="http://schemas.openxmlformats.org/officeDocument/2006/relationships/hyperlink" Target="https://insuranceofcapecod.com/?utm_source=chatgpt.com" TargetMode="External"/><Relationship Id="rId44" Type="http://schemas.openxmlformats.org/officeDocument/2006/relationships/hyperlink" Target="https://kdhicksinsurance.com/business-insurance/special-event-insurance" TargetMode="External"/><Relationship Id="rId21" Type="http://schemas.openxmlformats.org/officeDocument/2006/relationships/hyperlink" Target="https://mcgriff.com/resources/articles/understanding-named-insureds-on-a-policy/" TargetMode="External"/><Relationship Id="rId31" Type="http://schemas.openxmlformats.org/officeDocument/2006/relationships/hyperlink" Target="https://pro4.us/event-insurance/non-ds/" TargetMode="External"/><Relationship Id="rId27" Type="http://schemas.openxmlformats.org/officeDocument/2006/relationships/hyperlink" Target="https://protectyournonprofit.com/one-day-event-insurance/" TargetMode="External"/><Relationship Id="rId23" Type="http://schemas.openxmlformats.org/officeDocument/2006/relationships/hyperlink" Target="https://www.acord.org/docs/default-source/forms/acordcertificatesfaq?utm_source=chatgpt.com" TargetMode="External"/><Relationship Id="rId32" Type="http://schemas.openxmlformats.org/officeDocument/2006/relationships/hyperlink" Target="https://www.eqgroup.com/concert_rock-rap/" TargetMode="External"/><Relationship Id="rId30" Type="http://schemas.openxmlformats.org/officeDocument/2006/relationships/hyperlink" Target="https://www.espspecialty.com/event-liability/" TargetMode="External"/><Relationship Id="rId29" Type="http://schemas.openxmlformats.org/officeDocument/2006/relationships/hyperlink" Target="https://www.eventsured.com/" TargetMode="External"/><Relationship Id="rId45" Type="http://schemas.openxmlformats.org/officeDocument/2006/relationships/hyperlink" Target="https://www.feingoldco.com/event-insurance-massachusetts/" TargetMode="External"/><Relationship Id="rId38" Type="http://schemas.openxmlformats.org/officeDocument/2006/relationships/hyperlink" Target="https://www.insurancecanopy.com/blog/how-to-get-event-host-insurance" TargetMode="External"/><Relationship Id="rId20" Type="http://schemas.openxmlformats.org/officeDocument/2006/relationships/hyperlink" Target="https://www.kandkinsurance.com/getmedia/7b44cdf7-d69e-417e-a0d0-f13021ddbe48/1023-ShortTerm-12-2025-final.pdf" TargetMode="External"/><Relationship Id="rId26" Type="http://schemas.openxmlformats.org/officeDocument/2006/relationships/hyperlink" Target="https://www.phly.com/products/special-events-general-liability-insurance" TargetMode="External"/><Relationship Id="rId33" Type="http://schemas.openxmlformats.org/officeDocument/2006/relationships/hyperlink" Target="https://www.privateeventinsurance.com/Pages/Business-Event-Liability-Insurance.aspx" TargetMode="External"/><Relationship Id="rId43" Type="http://schemas.openxmlformats.org/officeDocument/2006/relationships/hyperlink" Target="https://www.risman.com/business/event-insurance/" TargetMode="External"/><Relationship Id="rId28" Type="http://schemas.openxmlformats.org/officeDocument/2006/relationships/hyperlink" Target="https://www.rvnuccio.com/specialty-insurance-products/event-insurance/" TargetMode="External"/><Relationship Id="rId36" Type="http://schemas.openxmlformats.org/officeDocument/2006/relationships/hyperlink" Target="https://www.secura.net/business-insurance/events-insurance" TargetMode="External"/><Relationship Id="rId37" Type="http://schemas.openxmlformats.org/officeDocument/2006/relationships/hyperlink" Target="https://www.theeventhelper.com/" TargetMode="External"/><Relationship Id="rId35" Type="http://schemas.openxmlformats.org/officeDocument/2006/relationships/hyperlink" Target="https://www.usli.com/products/special-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options for your August 29 event</dc:title>
  <dc:creator/>
  <cp:keywords>event insurance, nonprofit, Cape Cod Community College, Tilden Arts Center</cp:keywords>
  <dcterms:created xsi:type="dcterms:W3CDTF">2026-07-22T13:18:26Z</dcterms:created>
  <dcterms:modified xsi:type="dcterms:W3CDTF">2026-07-22T13:18:26Z</dcterms:modified>
  <dc:subject>Special-event liability insurance options for Cape Cod Community College</dc:subject>
</cp:coreProperties>
</file>

<file path=docProps/custom.xml><?xml version="1.0" encoding="utf-8"?>
<Properties xmlns="http://schemas.openxmlformats.org/officeDocument/2006/custom-properties" xmlns:vt="http://schemas.openxmlformats.org/officeDocument/2006/docPropsVTypes"/>
</file>