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595959"/>
          <w:sz w:val="22"/>
          <w:szCs w:val="22"/>
        </w:rPr>
        <w:t xml:space="preserve">THE 1140-A COMPANY</w:t>
      </w:r>
    </w:p>
    <w:p>
      <w:pPr>
        <w:spacing w:after="80"/>
      </w:pPr>
      <w:r>
        <w:rPr>
          <w:rFonts w:ascii="Georgia" w:cs="Georgia" w:eastAsia="Georgia" w:hAnsi="Georgia"/>
          <w:b/>
          <w:bCs/>
          <w:color w:val="1F3864"/>
          <w:sz w:val="44"/>
          <w:szCs w:val="44"/>
        </w:rPr>
        <w:t xml:space="preserve">The Sponsor Document — Gameplan</w:t>
      </w:r>
    </w:p>
    <w:p>
      <w:pPr>
        <w:spacing w:after="40"/>
      </w:pPr>
      <w:r>
        <w:rPr>
          <w:rFonts w:ascii="Georgia" w:cs="Georgia" w:eastAsia="Georgia" w:hAnsi="Georgia"/>
          <w:i/>
          <w:iCs/>
          <w:color w:val="595959"/>
          <w:sz w:val="22"/>
          <w:szCs w:val="22"/>
        </w:rPr>
        <w:t xml:space="preserve">A one-night comedy double feature · Mike Cannon &amp; Brendan Sagalow · the Tilden Arts Center, Cape Cod Community College · Saturday 29 August 2026</w:t>
      </w:r>
    </w:p>
    <w:p>
      <w:pPr>
        <w:pBdr>
          <w:bottom w:val="single" w:color="1F3864" w:sz="8" w:space="4"/>
        </w:pBdr>
        <w:spacing w:after="240"/>
      </w:pPr>
      <w:r>
        <w:rPr>
          <w:rFonts w:ascii="Georgia" w:cs="Georgia" w:eastAsia="Georgia" w:hAnsi="Georgia"/>
          <w:color w:val="595959"/>
          <w:sz w:val="20"/>
          <w:szCs w:val="20"/>
        </w:rPr>
        <w:t xml:space="preserve">Prepared 23 July 2026 · Synthesised from the Cape Cinema transcripts and the sponsor working files</w:t>
      </w:r>
    </w:p>
    <w:p>
      <w:pPr>
        <w:pStyle w:val="Heading1"/>
        <w:spacing w:after="160" w:before="320"/>
      </w:pPr>
      <w:r>
        <w:rPr>
          <w:rFonts w:ascii="Georgia" w:cs="Georgia" w:eastAsia="Georgia" w:hAnsi="Georgia"/>
          <w:b/>
          <w:bCs/>
          <w:color w:val="1F3864"/>
          <w:sz w:val="30"/>
          <w:szCs w:val="30"/>
        </w:rPr>
        <w:t xml:space="preserve">1. What this is</w:t>
      </w:r>
    </w:p>
    <w:p>
      <w:pPr>
        <w:spacing w:after="160" w:line="276"/>
      </w:pPr>
      <w:r>
        <w:rPr>
          <w:rFonts w:ascii="Georgia" w:cs="Georgia" w:eastAsia="Georgia" w:hAnsi="Georgia"/>
          <w:color w:val="1A1A1A"/>
          <w:sz w:val="22"/>
          <w:szCs w:val="22"/>
        </w:rPr>
        <w:t xml:space="preserve">This is the plan for the document that goes to prospective sponsors — not the document itself. It consolidates every decision already made across the two long transcripts and the sponsor files, flags the points where the record contradicts itself (the erosion left several), and sets out the structure, copy, rules and sequencing for the finished piece. Once the open decisions at the end are settled, the document can be written in one clean pass rather than re-litigated.</w:t>
      </w:r>
    </w:p>
    <w:p>
      <w:pPr>
        <w:spacing w:after="160" w:line="276"/>
      </w:pPr>
      <w:r>
        <w:rPr>
          <w:rFonts w:ascii="Georgia" w:cs="Georgia" w:eastAsia="Georgia" w:hAnsi="Georgia"/>
          <w:color w:val="1A1A1A"/>
          <w:sz w:val="22"/>
          <w:szCs w:val="22"/>
        </w:rPr>
        <w:t xml:space="preserve">The prior chat left the one-pager agreed in shape but never assembled. The shape it agreed is preserved here in full, including the copy blocks that were fought over and locked.</w:t>
      </w:r>
    </w:p>
    <w:p>
      <w:pPr>
        <w:pStyle w:val="Heading1"/>
        <w:spacing w:after="160" w:before="320"/>
      </w:pPr>
      <w:r>
        <w:rPr>
          <w:rFonts w:ascii="Georgia" w:cs="Georgia" w:eastAsia="Georgia" w:hAnsi="Georgia"/>
          <w:b/>
          <w:bCs/>
          <w:color w:val="1F3864"/>
          <w:sz w:val="30"/>
          <w:szCs w:val="30"/>
        </w:rPr>
        <w:t xml:space="preserve">2. What is being sold</w:t>
      </w:r>
    </w:p>
    <w:p>
      <w:pPr>
        <w:spacing w:after="160" w:line="276"/>
      </w:pPr>
      <w:r>
        <w:rPr>
          <w:rFonts w:ascii="Georgia" w:cs="Georgia" w:eastAsia="Georgia" w:hAnsi="Georgia"/>
          <w:b/>
          <w:bCs/>
          <w:color w:val="1A1A1A"/>
          <w:sz w:val="22"/>
          <w:szCs w:val="22"/>
        </w:rPr>
        <w:t xml:space="preserve">One sponsor. No tiers, no stack, no co-presenters. </w:t>
      </w:r>
      <w:r>
        <w:rPr>
          <w:rFonts w:ascii="Georgia" w:cs="Georgia" w:eastAsia="Georgia" w:hAnsi="Georgia"/>
          <w:color w:val="1A1A1A"/>
          <w:sz w:val="22"/>
          <w:szCs w:val="22"/>
        </w:rPr>
        <w:t xml:space="preserve">This has been doctrine since June and every attempt to invent a second sponsor tier was correctly killed — the moment two sponsors can buy in at different levels, the exclusivity being sold ceases to exist. The final package offers one buyer a choice of size, which is a different thing entirely: however it is taken, there is exactly one sponsor. The document sells that single, sole position — and everything else in it is staged as a gift that follows the position.</w:t>
      </w:r>
    </w:p>
    <w:p>
      <w:pPr>
        <w:spacing w:after="160" w:line="276"/>
      </w:pPr>
      <w:r>
        <w:rPr>
          <w:rFonts w:ascii="Georgia" w:cs="Georgia" w:eastAsia="Georgia" w:hAnsi="Georgia"/>
          <w:b/>
          <w:bCs/>
          <w:color w:val="1A1A1A"/>
          <w:sz w:val="22"/>
          <w:szCs w:val="22"/>
        </w:rPr>
        <w:t xml:space="preserve">The package, final (settled after the transcript exports): </w:t>
      </w:r>
      <w:r>
        <w:rPr>
          <w:rFonts w:ascii="Georgia" w:cs="Georgia" w:eastAsia="Georgia" w:hAnsi="Georgia"/>
          <w:color w:val="1A1A1A"/>
          <w:sz w:val="22"/>
          <w:szCs w:val="22"/>
        </w:rPr>
        <w:t xml:space="preserve">one sole position, offered at the sponsor’s choice of size — </w:t>
      </w:r>
      <w:r>
        <w:rPr>
          <w:rFonts w:ascii="Georgia" w:cs="Georgia" w:eastAsia="Georgia" w:hAnsi="Georgia"/>
          <w:b/>
          <w:bCs/>
          <w:color w:val="1A1A1A"/>
          <w:sz w:val="22"/>
          <w:szCs w:val="22"/>
        </w:rPr>
        <w:t xml:space="preserve">10 heads at $9,000, or 18 heads at $14,500</w:t>
      </w:r>
      <w:r>
        <w:rPr>
          <w:rFonts w:ascii="Georgia" w:cs="Georgia" w:eastAsia="Georgia" w:hAnsi="Georgia"/>
          <w:color w:val="1A1A1A"/>
          <w:sz w:val="22"/>
          <w:szCs w:val="22"/>
        </w:rPr>
        <w:t xml:space="preserve">. Two sizes of the same whole position, not two tiers: there is still exactly one sponsor. Per-head arithmetic never appears anywhere near the sponsor.</w:t>
      </w:r>
    </w:p>
    <w:p>
      <w:pPr>
        <w:pStyle w:val="ListParagraph"/>
        <w:numPr>
          <w:ilvl w:val="0"/>
          <w:numId w:val="2"/>
        </w:numPr>
        <w:spacing w:after="100" w:line="276"/>
      </w:pPr>
      <w:r>
        <w:rPr>
          <w:rFonts w:ascii="Georgia" w:cs="Georgia" w:eastAsia="Georgia" w:hAnsi="Georgia"/>
          <w:b/>
          <w:bCs/>
          <w:color w:val="1A1A1A"/>
          <w:sz w:val="22"/>
          <w:szCs w:val="22"/>
        </w:rPr>
        <w:t xml:space="preserve">Sole sponsorship of the event</w:t>
      </w:r>
      <w:r>
        <w:rPr>
          <w:rFonts w:ascii="Georgia" w:cs="Georgia" w:eastAsia="Georgia" w:hAnsi="Georgia"/>
          <w:color w:val="1A1A1A"/>
          <w:sz w:val="22"/>
          <w:szCs w:val="22"/>
        </w:rPr>
        <w:t xml:space="preserve"> — the sponsor’s name on the website, posters, tickets and lobby sign, on 1140-a material only. Placement at the free-and-included tier meets the FTC “clear and conspicuous” standard; anything larger is a separate conversation, and anything abutting the talent is Emilio’s call, not ours.</w:t>
      </w:r>
    </w:p>
    <w:p>
      <w:pPr>
        <w:pStyle w:val="ListParagraph"/>
        <w:numPr>
          <w:ilvl w:val="0"/>
          <w:numId w:val="2"/>
        </w:numPr>
        <w:spacing w:after="100" w:line="276"/>
      </w:pPr>
      <w:r>
        <w:rPr>
          <w:rFonts w:ascii="Georgia" w:cs="Georgia" w:eastAsia="Georgia" w:hAnsi="Georgia"/>
          <w:b/>
          <w:bCs/>
          <w:color w:val="1A1A1A"/>
          <w:sz w:val="22"/>
          <w:szCs w:val="22"/>
        </w:rPr>
        <w:t xml:space="preserve">Orchestra seats for the party</w:t>
      </w:r>
      <w:r>
        <w:rPr>
          <w:rFonts w:ascii="Georgia" w:cs="Georgia" w:eastAsia="Georgia" w:hAnsi="Georgia"/>
          <w:color w:val="1A1A1A"/>
          <w:sz w:val="22"/>
          <w:szCs w:val="22"/>
        </w:rPr>
        <w:t xml:space="preserve"> — 10 or 18, with close parking. Deliberately “orchestra”, not front-row-centre: the seats must be held until every prospect has replied, and releasing the house’s best rows weeks after other buyers paid would be a kick in the throat to them. “Orchestra” promises quality without naming rows, so the hold can flex and nobody who bought early is ever shown a better seat appearing behind their purchase.</w:t>
      </w:r>
    </w:p>
    <w:p>
      <w:pPr>
        <w:pStyle w:val="ListParagraph"/>
        <w:numPr>
          <w:ilvl w:val="0"/>
          <w:numId w:val="2"/>
        </w:numPr>
        <w:spacing w:after="100" w:line="276"/>
      </w:pPr>
      <w:r>
        <w:rPr>
          <w:rFonts w:ascii="Georgia" w:cs="Georgia" w:eastAsia="Georgia" w:hAnsi="Georgia"/>
          <w:b/>
          <w:bCs/>
          <w:color w:val="1A1A1A"/>
          <w:sz w:val="22"/>
          <w:szCs w:val="22"/>
        </w:rPr>
        <w:t xml:space="preserve">The private pit clam bake, with an open bar</w:t>
      </w:r>
      <w:r>
        <w:rPr>
          <w:rFonts w:ascii="Georgia" w:cs="Georgia" w:eastAsia="Georgia" w:hAnsi="Georgia"/>
          <w:color w:val="1A1A1A"/>
          <w:sz w:val="22"/>
          <w:szCs w:val="22"/>
        </w:rPr>
        <w:t xml:space="preserve"> — a traditional Cape Cod pit bake, catered, as a late lunch on the day of the show, on the 32-acre conservation property beside the oldest barn in Dennis, attended by both headliners, whose attention is contractually reserved for the sponsor’s party. This is the item nobody else on earth can offer, and it lands last in the document. (Assumed: the open bar sits at the bake, not at the theatre — an open bar at the Tilden would need the college’s licensing blessing and is not part of the offer as written.)</w:t>
      </w:r>
    </w:p>
    <w:p>
      <w:pPr>
        <w:spacing w:after="160" w:line="276"/>
      </w:pPr>
      <w:r>
        <w:rPr>
          <w:rFonts w:ascii="Georgia" w:cs="Georgia" w:eastAsia="Georgia" w:hAnsi="Georgia"/>
          <w:b/>
          <w:bCs/>
          <w:color w:val="1A1A1A"/>
          <w:sz w:val="22"/>
          <w:szCs w:val="22"/>
        </w:rPr>
        <w:t xml:space="preserve">Deliberately cut, and staying cut: </w:t>
      </w:r>
      <w:r>
        <w:rPr>
          <w:rFonts w:ascii="Georgia" w:cs="Georgia" w:eastAsia="Georgia" w:hAnsi="Georgia"/>
          <w:color w:val="1A1A1A"/>
          <w:sz w:val="22"/>
          <w:szCs w:val="22"/>
        </w:rPr>
        <w:t xml:space="preserve">stage mentions, the recording package, any branding on footage or performers. The artist-protection clauses (billing hierarchy, clean media, no compelled mentions) are a selling point in themselves — they mark the offer as serious and the production as artist-first.</w:t>
      </w:r>
    </w:p>
    <w:p>
      <w:pPr>
        <w:spacing w:after="160" w:line="276"/>
      </w:pPr>
      <w:r>
        <w:rPr>
          <w:rFonts w:ascii="Georgia" w:cs="Georgia" w:eastAsia="Georgia" w:hAnsi="Georgia"/>
          <w:b/>
          <w:bCs/>
          <w:color w:val="1A1A1A"/>
          <w:sz w:val="22"/>
          <w:szCs w:val="22"/>
        </w:rPr>
        <w:t xml:space="preserve">The contingency is resolved. </w:t>
      </w:r>
      <w:r>
        <w:rPr>
          <w:rFonts w:ascii="Georgia" w:cs="Georgia" w:eastAsia="Georgia" w:hAnsi="Georgia"/>
          <w:color w:val="1A1A1A"/>
          <w:sz w:val="22"/>
          <w:szCs w:val="22"/>
        </w:rPr>
        <w:t xml:space="preserve">Forza has said yes: the comedians will attend the bake, and — beyond what was ever asked — the two will promote the event on air on their own shows. The letter can therefore promise the headliners’ presence at the bake as fact, and the on-air commitment upgrades the audience block from forecast to fact (see movement four). The open catering point stands: reprice the add-on covers so the base sits above the per-head cost, and honour real caps.</w:t>
      </w:r>
    </w:p>
    <w:p>
      <w:pPr>
        <w:pStyle w:val="Heading1"/>
        <w:spacing w:after="160" w:before="320"/>
      </w:pPr>
      <w:r>
        <w:rPr>
          <w:rFonts w:ascii="Georgia" w:cs="Georgia" w:eastAsia="Georgia" w:hAnsi="Georgia"/>
          <w:b/>
          <w:bCs/>
          <w:color w:val="1F3864"/>
          <w:sz w:val="30"/>
          <w:szCs w:val="30"/>
        </w:rPr>
        <w:t xml:space="preserve">3. Format: a one-pager and a credibility close</w:t>
      </w:r>
    </w:p>
    <w:p>
      <w:pPr>
        <w:spacing w:after="160" w:line="276"/>
      </w:pPr>
      <w:r>
        <w:rPr>
          <w:rFonts w:ascii="Georgia" w:cs="Georgia" w:eastAsia="Georgia" w:hAnsi="Georgia"/>
          <w:b/>
          <w:bCs/>
          <w:color w:val="1A1A1A"/>
          <w:sz w:val="22"/>
          <w:szCs w:val="22"/>
        </w:rPr>
        <w:t xml:space="preserve">Two pieces, not one.</w:t>
      </w:r>
    </w:p>
    <w:p>
      <w:pPr>
        <w:pStyle w:val="ListParagraph"/>
        <w:numPr>
          <w:ilvl w:val="0"/>
          <w:numId w:val="2"/>
        </w:numPr>
        <w:spacing w:after="100" w:line="276"/>
      </w:pPr>
      <w:r>
        <w:rPr>
          <w:rFonts w:ascii="Georgia" w:cs="Georgia" w:eastAsia="Georgia" w:hAnsi="Georgia"/>
          <w:b/>
          <w:bCs/>
          <w:color w:val="1A1A1A"/>
          <w:sz w:val="22"/>
          <w:szCs w:val="22"/>
        </w:rPr>
        <w:t xml:space="preserve">The one-pager</w:t>
      </w:r>
      <w:r>
        <w:rPr>
          <w:rFonts w:ascii="Georgia" w:cs="Georgia" w:eastAsia="Georgia" w:hAnsi="Georgia"/>
          <w:color w:val="1A1A1A"/>
          <w:sz w:val="22"/>
          <w:szCs w:val="22"/>
        </w:rPr>
        <w:t xml:space="preserve"> — the letter itself. One page, five short movements, no headings-and-subheadings apparatus. It reads top to bottom as a single confident argument. Every section is “two lines, clean.”</w:t>
      </w:r>
    </w:p>
    <w:p>
      <w:pPr>
        <w:pStyle w:val="ListParagraph"/>
        <w:numPr>
          <w:ilvl w:val="0"/>
          <w:numId w:val="2"/>
        </w:numPr>
        <w:spacing w:after="100" w:line="276"/>
      </w:pPr>
      <w:r>
        <w:rPr>
          <w:rFonts w:ascii="Georgia" w:cs="Georgia" w:eastAsia="Georgia" w:hAnsi="Georgia"/>
          <w:b/>
          <w:bCs/>
          <w:color w:val="1A1A1A"/>
          <w:sz w:val="22"/>
          <w:szCs w:val="22"/>
        </w:rPr>
        <w:t xml:space="preserve">The credibility sheet</w:t>
      </w:r>
      <w:r>
        <w:rPr>
          <w:rFonts w:ascii="Georgia" w:cs="Georgia" w:eastAsia="Georgia" w:hAnsi="Georgia"/>
          <w:color w:val="1A1A1A"/>
          <w:sz w:val="22"/>
          <w:szCs w:val="22"/>
        </w:rPr>
        <w:t xml:space="preserve"> — the itemised, linked audience workbook (the 25M+ documentation). It is the credibility close, not the opener: it travels behind the one-pager or is produced when asked, and its existence is referenced in the letter (“every video itemised and linked”) so the reader knows the receipts exist without being buried in them.</w:t>
      </w:r>
    </w:p>
    <w:p>
      <w:pPr>
        <w:spacing w:after="160" w:line="276"/>
      </w:pPr>
      <w:r>
        <w:rPr>
          <w:rFonts w:ascii="Georgia" w:cs="Georgia" w:eastAsia="Georgia" w:hAnsi="Georgia"/>
          <w:color w:val="1A1A1A"/>
          <w:sz w:val="22"/>
          <w:szCs w:val="22"/>
        </w:rPr>
        <w:t xml:space="preserve">The old Build Bible’s craft survives even though the Cape Cinema product it sold is dead: a universal spine with a thin bespoke skin per target — one connective sentence re-weighted to the reader (a bank hears community standing and the 149 balcony seats gifted to schools and community groups; a luxury realtor hears the bake as bespoke client entertainment), and a “YOUR NAME HERE” poster mock set in the target’s own typeface, never their actual logo. The poster mark stays small at the foot — “presented by” in a modest hand, because a countercultural brand splashing a corporate logo would undercut both parties.</w:t>
      </w:r>
    </w:p>
    <w:p>
      <w:pPr>
        <w:pStyle w:val="Heading1"/>
        <w:spacing w:after="160" w:before="320"/>
      </w:pPr>
      <w:r>
        <w:rPr>
          <w:rFonts w:ascii="Georgia" w:cs="Georgia" w:eastAsia="Georgia" w:hAnsi="Georgia"/>
          <w:b/>
          <w:bCs/>
          <w:color w:val="1F3864"/>
          <w:sz w:val="30"/>
          <w:szCs w:val="30"/>
        </w:rPr>
        <w:t xml:space="preserve">4. The one-pager, movement by movement</w:t>
      </w:r>
    </w:p>
    <w:p>
      <w:pPr>
        <w:pStyle w:val="Heading2"/>
        <w:spacing w:after="120" w:before="240"/>
      </w:pPr>
      <w:r>
        <w:rPr>
          <w:rFonts w:ascii="Georgia" w:cs="Georgia" w:eastAsia="Georgia" w:hAnsi="Georgia"/>
          <w:b/>
          <w:bCs/>
          <w:color w:val="1A1A1A"/>
          <w:sz w:val="24"/>
          <w:szCs w:val="24"/>
        </w:rPr>
        <w:t xml:space="preserve">Movement one — the opener (redrafted: talent first)</w:t>
      </w:r>
    </w:p>
    <w:p>
      <w:pPr>
        <w:spacing w:after="160" w:line="276"/>
      </w:pPr>
      <w:r>
        <w:rPr>
          <w:rFonts w:ascii="Georgia" w:cs="Georgia" w:eastAsia="Georgia" w:hAnsi="Georgia"/>
          <w:color w:val="1A1A1A"/>
          <w:sz w:val="22"/>
          <w:szCs w:val="22"/>
        </w:rPr>
        <w:t xml:space="preserve">The earlier draft opened on the company and buried the lede — the talent arrived mid-sentence with no lift. The rewrite leads with the names and the night; the company enters third, as producer. Proposed replacement (generated, for your edit — this is not locked copy):</w:t>
      </w:r>
    </w:p>
    <w:p>
      <w:pPr>
        <w:pBdr>
          <w:left w:val="single" w:color="1F3864" w:sz="12" w:space="8"/>
        </w:pBdr>
        <w:spacing w:after="160" w:line="276"/>
        <w:ind w:left="576" w:right="576"/>
      </w:pPr>
      <w:r>
        <w:rPr>
          <w:rFonts w:ascii="Georgia" w:cs="Georgia" w:eastAsia="Georgia" w:hAnsi="Georgia"/>
          <w:i/>
          <w:iCs/>
          <w:color w:val="333333"/>
          <w:sz w:val="22"/>
          <w:szCs w:val="22"/>
        </w:rPr>
        <w:t xml:space="preserve">One night only on Cape Cod: Mike Cannon and Brendan Sagalow — two of New York’s hardest-touring headliners — share a single bill on Saturday 29 August 2026 at the Tilden Arts Center. The 1140-a Company, a Massachusetts nonprofit, is producing the night, and is offering one organisation its sole sponsorship.</w:t>
      </w:r>
    </w:p>
    <w:p>
      <w:pPr>
        <w:spacing w:after="160" w:line="276"/>
      </w:pPr>
      <w:r>
        <w:rPr>
          <w:rFonts w:ascii="Georgia" w:cs="Georgia" w:eastAsia="Georgia" w:hAnsi="Georgia"/>
          <w:color w:val="1A1A1A"/>
          <w:sz w:val="22"/>
          <w:szCs w:val="22"/>
        </w:rPr>
        <w:t xml:space="preserve">The order of the sentence is the point: names first, the one-night-only second, the venue and date third, the company last. The sponsorship is pitched as an ordinary, deductible business expense — never as a charitable donation, since 501(c)(3) determination is not in hand.</w:t>
      </w:r>
    </w:p>
    <w:p>
      <w:pPr>
        <w:pStyle w:val="Heading2"/>
        <w:spacing w:after="120" w:before="240"/>
      </w:pPr>
      <w:r>
        <w:rPr>
          <w:rFonts w:ascii="Georgia" w:cs="Georgia" w:eastAsia="Georgia" w:hAnsi="Georgia"/>
          <w:b/>
          <w:bCs/>
          <w:color w:val="1A1A1A"/>
          <w:sz w:val="24"/>
          <w:szCs w:val="24"/>
        </w:rPr>
        <w:t xml:space="preserve">Movement two — the position</w:t>
      </w:r>
    </w:p>
    <w:p>
      <w:pPr>
        <w:spacing w:after="160" w:line="276"/>
      </w:pPr>
      <w:r>
        <w:rPr>
          <w:rFonts w:ascii="Georgia" w:cs="Georgia" w:eastAsia="Georgia" w:hAnsi="Georgia"/>
          <w:color w:val="1A1A1A"/>
          <w:sz w:val="22"/>
          <w:szCs w:val="22"/>
        </w:rPr>
        <w:t xml:space="preserve">The ask comes before the gifts: “You are the sole sponsor of the event.” Name on website, posters, tickets, lobby sign. Sole, and category-exclusive by construction — there is one position and it is whole. Never state the per-head arithmetic; nobody divides the figure by twelve when the twelve arrives later as a gift.</w:t>
      </w:r>
    </w:p>
    <w:p>
      <w:pPr>
        <w:pStyle w:val="Heading2"/>
        <w:spacing w:after="120" w:before="240"/>
      </w:pPr>
      <w:r>
        <w:rPr>
          <w:rFonts w:ascii="Georgia" w:cs="Georgia" w:eastAsia="Georgia" w:hAnsi="Georgia"/>
          <w:b/>
          <w:bCs/>
          <w:color w:val="1A1A1A"/>
          <w:sz w:val="24"/>
          <w:szCs w:val="24"/>
        </w:rPr>
        <w:t xml:space="preserve">Movement three — the gifts, ascending</w:t>
      </w:r>
    </w:p>
    <w:p>
      <w:pPr>
        <w:spacing w:after="160" w:line="276"/>
      </w:pPr>
      <w:r>
        <w:rPr>
          <w:rFonts w:ascii="Georgia" w:cs="Georgia" w:eastAsia="Georgia" w:hAnsi="Georgia"/>
          <w:color w:val="1A1A1A"/>
          <w:sz w:val="22"/>
          <w:szCs w:val="22"/>
        </w:rPr>
        <w:t xml:space="preserve">“And there’s more”: the orchestra seats and parking first, the clam bake last. The seats are worded as “orchestra seating for your party” — quality stated, rows never named, for the hold-flexibility reason above. The bake gets the fullest sentences in the letter — the pit, the seaweed from Dennis beaches, the oldest barn in Dennis, the open bar, both comedians at the table, confirmed. It is the close of the offer because it is the one element with no market substitute. The 10-or-18 choice is stated here plainly, both figures printed side by side, as sizes of one and the same position — never as tiers, and never with the division done for them.</w:t>
      </w:r>
    </w:p>
    <w:p>
      <w:pPr>
        <w:pStyle w:val="Heading2"/>
        <w:spacing w:after="120" w:before="240"/>
      </w:pPr>
      <w:r>
        <w:rPr>
          <w:rFonts w:ascii="Georgia" w:cs="Georgia" w:eastAsia="Georgia" w:hAnsi="Georgia"/>
          <w:b/>
          <w:bCs/>
          <w:color w:val="1A1A1A"/>
          <w:sz w:val="24"/>
          <w:szCs w:val="24"/>
        </w:rPr>
        <w:t xml:space="preserve">Movement four — the audience block (copy locked, verbatim)</w:t>
      </w:r>
    </w:p>
    <w:p>
      <w:pPr>
        <w:pBdr>
          <w:left w:val="single" w:color="1F3864" w:sz="12" w:space="8"/>
        </w:pBdr>
        <w:spacing w:after="160" w:line="276"/>
        <w:ind w:left="576" w:right="576"/>
      </w:pPr>
      <w:r>
        <w:rPr>
          <w:rFonts w:ascii="Georgia" w:cs="Georgia" w:eastAsia="Georgia" w:hAnsi="Georgia"/>
          <w:i/>
          <w:iCs/>
          <w:color w:val="333333"/>
          <w:sz w:val="22"/>
          <w:szCs w:val="22"/>
        </w:rPr>
        <w:t xml:space="preserve">Content featuring Mike Cannon and Brendan Sagalow has pulled over 25 million documented views on YouTube alone, every video itemized and linked. That figure excludes TikTok, Instagram, and Facebook, which don’t publish view counts, so true cross-platform viewership is higher still. They also have a combined following of over 640,000 across platforms, with more than 6 million TikTok likes - so each single post Cannon and Sagalow make about this event, reaches an audience of that size directly and immediately.</w:t>
      </w:r>
    </w:p>
    <w:p>
      <w:pPr>
        <w:spacing w:after="160" w:line="276"/>
      </w:pPr>
      <w:r>
        <w:rPr>
          <w:rFonts w:ascii="Georgia" w:cs="Georgia" w:eastAsia="Georgia" w:hAnsi="Georgia"/>
          <w:color w:val="1A1A1A"/>
          <w:sz w:val="22"/>
          <w:szCs w:val="22"/>
        </w:rPr>
        <w:t xml:space="preserve">This wording was the hardest-won paragraph in the transcript and is Max’s own final edit — it goes in as written, spelling and all. The 25M+ floor is deliberately rounded down so it survives challenge; “on YouTube alone” is the load-bearing hinge.</w:t>
      </w:r>
    </w:p>
    <w:p>
      <w:pPr>
        <w:spacing w:after="160" w:line="276"/>
      </w:pPr>
      <w:r>
        <w:rPr>
          <w:rFonts w:ascii="Georgia" w:cs="Georgia" w:eastAsia="Georgia" w:hAnsi="Georgia"/>
          <w:b/>
          <w:bCs/>
          <w:color w:val="1A1A1A"/>
          <w:sz w:val="22"/>
          <w:szCs w:val="22"/>
        </w:rPr>
        <w:t xml:space="preserve">The block now gets a second sentence it never had: </w:t>
      </w:r>
      <w:r>
        <w:rPr>
          <w:rFonts w:ascii="Georgia" w:cs="Georgia" w:eastAsia="Georgia" w:hAnsi="Georgia"/>
          <w:color w:val="1A1A1A"/>
          <w:sz w:val="22"/>
          <w:szCs w:val="22"/>
        </w:rPr>
        <w:t xml:space="preserve">Forza has committed the two to promoting the event on air on their own shows. The transcript’s objection to “they’ll promote it across their shows” was that it read as pie-in-the-sky forecast — that objection dies the moment it is management’s stated commitment rather than our hope. Stated plainly, with the so-what spelt out (that following, pointed at this event, with the sponsor’s name on it, repeatedly and for free), it is the strongest single line in the letter. It replaces the old optional recurrence line, which is now moot.</w:t>
      </w:r>
    </w:p>
    <w:p>
      <w:pPr>
        <w:pStyle w:val="Heading2"/>
        <w:spacing w:after="120" w:before="240"/>
      </w:pPr>
      <w:r>
        <w:rPr>
          <w:rFonts w:ascii="Georgia" w:cs="Georgia" w:eastAsia="Georgia" w:hAnsi="Georgia"/>
          <w:b/>
          <w:bCs/>
          <w:color w:val="1A1A1A"/>
          <w:sz w:val="24"/>
          <w:szCs w:val="24"/>
        </w:rPr>
        <w:t xml:space="preserve">Movement five — the invitation, with a real clock</w:t>
      </w:r>
    </w:p>
    <w:p>
      <w:pPr>
        <w:spacing w:after="160" w:line="276"/>
      </w:pPr>
      <w:r>
        <w:rPr>
          <w:rFonts w:ascii="Georgia" w:cs="Georgia" w:eastAsia="Georgia" w:hAnsi="Georgia"/>
          <w:b/>
          <w:bCs/>
          <w:color w:val="1A1A1A"/>
          <w:sz w:val="22"/>
          <w:szCs w:val="22"/>
        </w:rPr>
        <w:t xml:space="preserve">Prices are in — settled. </w:t>
      </w:r>
      <w:r>
        <w:rPr>
          <w:rFonts w:ascii="Georgia" w:cs="Georgia" w:eastAsia="Georgia" w:hAnsi="Georgia"/>
          <w:color w:val="1A1A1A"/>
          <w:sz w:val="22"/>
          <w:szCs w:val="22"/>
        </w:rPr>
        <w:t xml:space="preserve">Both figures print in the letter; everything is in this document, and a principal can decide from it by phone.</w:t>
      </w:r>
    </w:p>
    <w:p>
      <w:pPr>
        <w:spacing w:after="160" w:line="276"/>
      </w:pPr>
      <w:r>
        <w:rPr>
          <w:rFonts w:ascii="Georgia" w:cs="Georgia" w:eastAsia="Georgia" w:hAnsi="Georgia"/>
          <w:b/>
          <w:bCs/>
          <w:color w:val="1A1A1A"/>
          <w:sz w:val="22"/>
          <w:szCs w:val="22"/>
        </w:rPr>
        <w:t xml:space="preserve">The ticking clock exists, and it is honest. </w:t>
      </w:r>
      <w:r>
        <w:rPr>
          <w:rFonts w:ascii="Georgia" w:cs="Georgia" w:eastAsia="Georgia" w:hAnsi="Georgia"/>
          <w:color w:val="1A1A1A"/>
          <w:sz w:val="22"/>
          <w:szCs w:val="22"/>
        </w:rPr>
        <w:t xml:space="preserve">Eighteen orchestra seats cannot be held for weeks — and that constraint is itself the polite deadline. The letter says so plainly: the orchestra seats for the sponsor’s party are being held out of general sale, and they are released to the public when tickets go on sale on [date] — so the position is open until [reply-by date], and closes when the seats go. That is a true mechanical clock, not manufactured scarcity, so it survives the honesty doctrine intact: the seats really are held, they really do go on sale, and the date really is the end of it.</w:t>
      </w:r>
    </w:p>
    <w:p>
      <w:pPr>
        <w:spacing w:after="160" w:line="276"/>
      </w:pPr>
      <w:r>
        <w:rPr>
          <w:rFonts w:ascii="Georgia" w:cs="Georgia" w:eastAsia="Georgia" w:hAnsi="Georgia"/>
          <w:color w:val="1A1A1A"/>
          <w:sz w:val="22"/>
          <w:szCs w:val="22"/>
        </w:rPr>
        <w:t xml:space="preserve">Belt and braces regardless of the date: the wildcat line stops being a murmur and becomes an unmissable sentence of its own — we are approaching several organisations, and the position goes to the first to commit. Urgency and the clean exit, both, in one plain statement.</w:t>
      </w:r>
    </w:p>
    <w:p>
      <w:pPr>
        <w:pStyle w:val="Heading1"/>
        <w:spacing w:after="160" w:before="320"/>
      </w:pPr>
      <w:r>
        <w:rPr>
          <w:rFonts w:ascii="Georgia" w:cs="Georgia" w:eastAsia="Georgia" w:hAnsi="Georgia"/>
          <w:b/>
          <w:bCs/>
          <w:color w:val="1F3864"/>
          <w:sz w:val="30"/>
          <w:szCs w:val="30"/>
        </w:rPr>
        <w:t xml:space="preserve">5. The register</w:t>
      </w:r>
    </w:p>
    <w:p>
      <w:pPr>
        <w:spacing w:after="160" w:line="276"/>
      </w:pPr>
      <w:r>
        <w:rPr>
          <w:rFonts w:ascii="Georgia" w:cs="Georgia" w:eastAsia="Georgia" w:hAnsi="Georgia"/>
          <w:color w:val="1A1A1A"/>
          <w:sz w:val="22"/>
          <w:szCs w:val="22"/>
        </w:rPr>
        <w:t xml:space="preserve">The rules, consolidated from every ruling in the record. These are non-negotiable in the finished piece:</w:t>
      </w:r>
    </w:p>
    <w:p>
      <w:pPr>
        <w:pStyle w:val="ListParagraph"/>
        <w:numPr>
          <w:ilvl w:val="0"/>
          <w:numId w:val="2"/>
        </w:numPr>
        <w:spacing w:after="100" w:line="276"/>
      </w:pPr>
      <w:r>
        <w:rPr>
          <w:rFonts w:ascii="Georgia" w:cs="Georgia" w:eastAsia="Georgia" w:hAnsi="Georgia"/>
          <w:color w:val="1A1A1A"/>
          <w:sz w:val="22"/>
          <w:szCs w:val="22"/>
        </w:rPr>
        <w:t xml:space="preserve">Understatement as flex. A line item, not a carnie barker. Strong facts plainly stated; no hype, no superlatives, no exclamation marks.</w:t>
      </w:r>
    </w:p>
    <w:p>
      <w:pPr>
        <w:pStyle w:val="ListParagraph"/>
        <w:numPr>
          <w:ilvl w:val="0"/>
          <w:numId w:val="2"/>
        </w:numPr>
        <w:spacing w:after="100" w:line="276"/>
      </w:pPr>
      <w:r>
        <w:rPr>
          <w:rFonts w:ascii="Georgia" w:cs="Georgia" w:eastAsia="Georgia" w:hAnsi="Georgia"/>
          <w:color w:val="1A1A1A"/>
          <w:sz w:val="22"/>
          <w:szCs w:val="22"/>
        </w:rPr>
        <w:t xml:space="preserve">Round down. A verifiable 25M beats a challengeable 29.8M. “Documented” and “itemised and linked” are the receipts language.</w:t>
      </w:r>
    </w:p>
    <w:p>
      <w:pPr>
        <w:pStyle w:val="ListParagraph"/>
        <w:numPr>
          <w:ilvl w:val="0"/>
          <w:numId w:val="2"/>
        </w:numPr>
        <w:spacing w:after="100" w:line="276"/>
      </w:pPr>
      <w:r>
        <w:rPr>
          <w:rFonts w:ascii="Georgia" w:cs="Georgia" w:eastAsia="Georgia" w:hAnsi="Georgia"/>
          <w:color w:val="1A1A1A"/>
          <w:sz w:val="22"/>
          <w:szCs w:val="22"/>
        </w:rPr>
        <w:t xml:space="preserve">Banned words: “viral”, “reach”, “impressions”. Never imply the 640,000 following translates to local attendance.</w:t>
      </w:r>
    </w:p>
    <w:p>
      <w:pPr>
        <w:pStyle w:val="ListParagraph"/>
        <w:numPr>
          <w:ilvl w:val="0"/>
          <w:numId w:val="2"/>
        </w:numPr>
        <w:spacing w:after="100" w:line="276"/>
      </w:pPr>
      <w:r>
        <w:rPr>
          <w:rFonts w:ascii="Georgia" w:cs="Georgia" w:eastAsia="Georgia" w:hAnsi="Georgia"/>
          <w:color w:val="1A1A1A"/>
          <w:sz w:val="22"/>
          <w:szCs w:val="22"/>
        </w:rPr>
        <w:t xml:space="preserve">Never assert the comedians are “safe” — let their fingerprints all over basic cable explain the safeness. Credentials imply; they do not claim.</w:t>
      </w:r>
    </w:p>
    <w:p>
      <w:pPr>
        <w:pStyle w:val="ListParagraph"/>
        <w:numPr>
          <w:ilvl w:val="0"/>
          <w:numId w:val="2"/>
        </w:numPr>
        <w:spacing w:after="100" w:line="276"/>
      </w:pPr>
      <w:r>
        <w:rPr>
          <w:rFonts w:ascii="Georgia" w:cs="Georgia" w:eastAsia="Georgia" w:hAnsi="Georgia"/>
          <w:color w:val="1A1A1A"/>
          <w:sz w:val="22"/>
          <w:szCs w:val="22"/>
        </w:rPr>
        <w:t xml:space="preserve">Forza’s approved bios run verbatim and uncut wherever the format allows; where it doesn’t, write fresh short copy — never take scissors to their words.</w:t>
      </w:r>
    </w:p>
    <w:p>
      <w:pPr>
        <w:pStyle w:val="ListParagraph"/>
        <w:numPr>
          <w:ilvl w:val="0"/>
          <w:numId w:val="2"/>
        </w:numPr>
        <w:spacing w:after="100" w:line="276"/>
      </w:pPr>
      <w:r>
        <w:rPr>
          <w:rFonts w:ascii="Georgia" w:cs="Georgia" w:eastAsia="Georgia" w:hAnsi="Georgia"/>
          <w:color w:val="1A1A1A"/>
          <w:sz w:val="22"/>
          <w:szCs w:val="22"/>
        </w:rPr>
        <w:t xml:space="preserve">Every statistic carries its so-what spelt out, or it is cut.</w:t>
      </w:r>
    </w:p>
    <w:p>
      <w:pPr>
        <w:pStyle w:val="ListParagraph"/>
        <w:numPr>
          <w:ilvl w:val="0"/>
          <w:numId w:val="2"/>
        </w:numPr>
        <w:spacing w:after="100" w:line="276"/>
      </w:pPr>
      <w:r>
        <w:rPr>
          <w:rFonts w:ascii="Georgia" w:cs="Georgia" w:eastAsia="Georgia" w:hAnsi="Georgia"/>
          <w:color w:val="1A1A1A"/>
          <w:sz w:val="22"/>
          <w:szCs w:val="22"/>
        </w:rPr>
        <w:t xml:space="preserve">“The” before venue names. No tildes or spec-sheet characters in prose. British English throughout — except inside the locked audience block, which stands as written.</w:t>
      </w:r>
    </w:p>
    <w:p>
      <w:pPr>
        <w:pStyle w:val="Heading1"/>
        <w:spacing w:after="160" w:before="320"/>
      </w:pPr>
      <w:r>
        <w:rPr>
          <w:rFonts w:ascii="Georgia" w:cs="Georgia" w:eastAsia="Georgia" w:hAnsi="Georgia"/>
          <w:b/>
          <w:bCs/>
          <w:color w:val="1F3864"/>
          <w:sz w:val="30"/>
          <w:szCs w:val="30"/>
        </w:rPr>
        <w:t xml:space="preserve">6. Who receives it, and in what order</w:t>
      </w:r>
    </w:p>
    <w:p>
      <w:pPr>
        <w:spacing w:after="160" w:line="276"/>
      </w:pPr>
      <w:r>
        <w:rPr>
          <w:rFonts w:ascii="Georgia" w:cs="Georgia" w:eastAsia="Georgia" w:hAnsi="Georgia"/>
          <w:color w:val="1A1A1A"/>
          <w:sz w:val="22"/>
          <w:szCs w:val="22"/>
        </w:rPr>
        <w:t xml:space="preserve">The calendar has closed the formal portals for 2026 (Cape &amp; Coast’s eight-week notice has passed; Kelley needs six months), so this year’s route is principal-to-principal: a bank president, a family-business owner, a trustee who can decide by telephone. The portals are the 2027 route, and this letter seeds them.</w:t>
      </w:r>
    </w:p>
    <w:p>
      <w:pPr>
        <w:spacing w:after="160" w:line="276"/>
      </w:pPr>
      <w:r>
        <w:rPr>
          <w:rFonts w:ascii="Georgia" w:cs="Georgia" w:eastAsia="Georgia" w:hAnsi="Georgia"/>
          <w:color w:val="1A1A1A"/>
          <w:sz w:val="22"/>
          <w:szCs w:val="22"/>
        </w:rPr>
        <w:t xml:space="preserve">First wave, from the July research: Cape &amp; Coast Bank, Cape Cod 5, Rockland Trust (which explicitly funds non-501(c)(3)s and distributed $5.8M in 2025), Cape Air, and RogersGray/Baldwin (Dennis-headquartered). Second ring: the Davenport Companies, William Raveis and Kinlin Grover (the bake as client entertainment), and the family-business cluster. Cape Cod Beer is in-kind only. Benchmarks that make the ask look normal on the Cape: Figawi’s $20K premier tier and Seaside Le Mans’ $12K Full Kart.</w:t>
      </w:r>
    </w:p>
    <w:p>
      <w:pPr>
        <w:spacing w:after="160" w:line="276"/>
      </w:pPr>
      <w:r>
        <w:rPr>
          <w:rFonts w:ascii="Georgia" w:cs="Georgia" w:eastAsia="Georgia" w:hAnsi="Georgia"/>
          <w:color w:val="1A1A1A"/>
          <w:sz w:val="22"/>
          <w:szCs w:val="22"/>
        </w:rPr>
        <w:t xml:space="preserve">Sequencing is now clean: Forza’s yes is in hand, so the letter can promise the comedians’ presence at the bake and their on-air promotion without conditional wording, and nothing in the letter outruns what management has blessed. The wildcat line stays for its urgency and its clean exit, not as cover.</w:t>
      </w:r>
    </w:p>
    <w:p>
      <w:pPr>
        <w:pStyle w:val="Heading1"/>
        <w:spacing w:after="160" w:before="320"/>
      </w:pPr>
      <w:r>
        <w:rPr>
          <w:rFonts w:ascii="Georgia" w:cs="Georgia" w:eastAsia="Georgia" w:hAnsi="Georgia"/>
          <w:b/>
          <w:bCs/>
          <w:color w:val="1F3864"/>
          <w:sz w:val="30"/>
          <w:szCs w:val="30"/>
        </w:rPr>
        <w:t xml:space="preserve">7. Pre-flight checks (before anything is sent)</w:t>
      </w:r>
    </w:p>
    <w:p>
      <w:pPr>
        <w:pStyle w:val="ListParagraph"/>
        <w:numPr>
          <w:ilvl w:val="0"/>
          <w:numId w:val="3"/>
        </w:numPr>
        <w:spacing w:after="100" w:line="276"/>
      </w:pPr>
      <w:r>
        <w:rPr>
          <w:rFonts w:ascii="Georgia" w:cs="Georgia" w:eastAsia="Georgia" w:hAnsi="Georgia"/>
          <w:color w:val="1A1A1A"/>
          <w:sz w:val="22"/>
          <w:szCs w:val="22"/>
        </w:rPr>
        <w:t xml:space="preserve">Verify the 11.69M Distefano video actually features Cannon. The 25M+ floor was built to survive its loss, but the itemised sheet must not contain a challengeable line.</w:t>
      </w:r>
    </w:p>
    <w:p>
      <w:pPr>
        <w:pStyle w:val="ListParagraph"/>
        <w:numPr>
          <w:ilvl w:val="0"/>
          <w:numId w:val="3"/>
        </w:numPr>
        <w:spacing w:after="100" w:line="276"/>
      </w:pPr>
      <w:r>
        <w:rPr>
          <w:rFonts w:ascii="Georgia" w:cs="Georgia" w:eastAsia="Georgia" w:hAnsi="Georgia"/>
          <w:color w:val="1A1A1A"/>
          <w:sz w:val="22"/>
          <w:szCs w:val="22"/>
        </w:rPr>
        <w:t xml:space="preserve">Refresh the two sponsor-research documents to the final package — both still carry the superseded $17,500/14-seat offer, and would embarrass the letter if forwarded alongside it.</w:t>
      </w:r>
    </w:p>
    <w:p>
      <w:pPr>
        <w:pStyle w:val="ListParagraph"/>
        <w:numPr>
          <w:ilvl w:val="0"/>
          <w:numId w:val="3"/>
        </w:numPr>
        <w:spacing w:after="100" w:line="276"/>
      </w:pPr>
      <w:r>
        <w:rPr>
          <w:rFonts w:ascii="Georgia" w:cs="Georgia" w:eastAsia="Georgia" w:hAnsi="Georgia"/>
          <w:color w:val="1A1A1A"/>
          <w:sz w:val="22"/>
          <w:szCs w:val="22"/>
        </w:rPr>
        <w:t xml:space="preserve">Re-run the catering arithmetic at 10 and at 18 covers with the open bar included, so the bake’s cost floor under each option is known before the figures go in print — the record’s last models were built at 12 and 14 heads, without a bar.</w:t>
      </w:r>
    </w:p>
    <w:p>
      <w:pPr>
        <w:pStyle w:val="ListParagraph"/>
        <w:numPr>
          <w:ilvl w:val="0"/>
          <w:numId w:val="3"/>
        </w:numPr>
        <w:spacing w:after="100" w:line="276"/>
      </w:pPr>
      <w:r>
        <w:rPr>
          <w:rFonts w:ascii="Georgia" w:cs="Georgia" w:eastAsia="Georgia" w:hAnsi="Georgia"/>
          <w:color w:val="1A1A1A"/>
          <w:sz w:val="22"/>
          <w:szCs w:val="22"/>
        </w:rPr>
        <w:t xml:space="preserve">Confirm Cannon’s headshot licence (Sagalow’s is in hand, credit John Cafaro) before the poster mock is built.</w:t>
      </w:r>
    </w:p>
    <w:p>
      <w:pPr>
        <w:pStyle w:val="ListParagraph"/>
        <w:numPr>
          <w:ilvl w:val="0"/>
          <w:numId w:val="3"/>
        </w:numPr>
        <w:spacing w:after="100" w:line="276"/>
      </w:pPr>
      <w:r>
        <w:rPr>
          <w:rFonts w:ascii="Georgia" w:cs="Georgia" w:eastAsia="Georgia" w:hAnsi="Georgia"/>
          <w:color w:val="1A1A1A"/>
          <w:sz w:val="22"/>
          <w:szCs w:val="22"/>
        </w:rPr>
        <w:t xml:space="preserve">Google both comedians as a prospect would. If the Thin Lips cold-open ranks first, pre-empt with two clips — one each, no long list.</w:t>
      </w:r>
    </w:p>
    <w:p>
      <w:pPr>
        <w:pStyle w:val="ListParagraph"/>
        <w:numPr>
          <w:ilvl w:val="0"/>
          <w:numId w:val="3"/>
        </w:numPr>
        <w:spacing w:after="100" w:line="276"/>
      </w:pPr>
      <w:r>
        <w:rPr>
          <w:rFonts w:ascii="Georgia" w:cs="Georgia" w:eastAsia="Georgia" w:hAnsi="Georgia"/>
          <w:color w:val="1A1A1A"/>
          <w:sz w:val="22"/>
          <w:szCs w:val="22"/>
        </w:rPr>
        <w:t xml:space="preserve">Confirm the Commonwealth listing has landed before any recipient can look the company up — the letter says “a Massachusetts nonprofit” and the record should agree by the time they check.</w:t>
      </w:r>
    </w:p>
    <w:p>
      <w:pPr>
        <w:pStyle w:val="Heading1"/>
        <w:spacing w:after="160" w:before="320"/>
      </w:pPr>
      <w:r>
        <w:rPr>
          <w:rFonts w:ascii="Georgia" w:cs="Georgia" w:eastAsia="Georgia" w:hAnsi="Georgia"/>
          <w:b/>
          <w:bCs/>
          <w:color w:val="1F3864"/>
          <w:sz w:val="30"/>
          <w:szCs w:val="30"/>
        </w:rPr>
        <w:t xml:space="preserve">8. Open decisions — settle these, then the document gets written</w:t>
      </w:r>
    </w:p>
    <w:p>
      <w:pPr>
        <w:spacing w:after="160" w:line="276"/>
      </w:pPr>
      <w:r>
        <w:rPr>
          <w:rFonts w:ascii="Georgia" w:cs="Georgia" w:eastAsia="Georgia" w:hAnsi="Georgia"/>
          <w:color w:val="1A1A1A"/>
          <w:sz w:val="22"/>
          <w:szCs w:val="22"/>
        </w:rPr>
        <w:t xml:space="preserve">The package, the prices-in-the-letter question, the seats wording, the bake contingency and the recurrence line are all now settled. Two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Decision</w:t>
            </w:r>
          </w:p>
        </w:tc>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Where it stands</w:t>
            </w:r>
          </w:p>
        </w:tc>
        <w:tc>
          <w:tcPr>
            <w:tcW w:type="dxa" w:w="1"/>
            <w:shd w:fill="EDF1F7" w:val="clear"/>
            <w:tcMar>
              <w:top w:type="dxa" w:w="80"/>
              <w:left w:type="dxa" w:w="120"/>
              <w:bottom w:type="dxa" w:w="80"/>
              <w:right w:type="dxa" w:w="120"/>
            </w:tcMar>
          </w:tcPr>
          <w:p>
            <w:pPr>
              <w:spacing w:after="0" w:line="260"/>
            </w:pPr>
            <w:r>
              <w:rPr>
                <w:rFonts w:ascii="Georgia" w:cs="Georgia" w:eastAsia="Georgia" w:hAnsi="Georgia"/>
                <w:b/>
                <w:bCs/>
                <w:color w:val="1A1A1A"/>
                <w:sz w:val="20"/>
                <w:szCs w:val="20"/>
              </w:rPr>
              <w:t xml:space="preserve">It blocks</w:t>
            </w:r>
          </w:p>
        </w:tc>
      </w:tr>
      <w:tr>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1. The clock’s date</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The reply-by date, naturally anchored to the general on-sale date (itself gated by the executed contract and the live bank account). Set the on-sale date and the deadline writes itself. If on-sale slips, the letter can carry the reply-by date alone.</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Movement five</w:t>
            </w:r>
          </w:p>
        </w:tc>
      </w:tr>
      <w:tr>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2. First-wave list &amp; sender</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Which five go first, and under whose signature the letter goes.</w:t>
            </w:r>
          </w:p>
        </w:tc>
        <w:tc>
          <w:tcPr>
            <w:tcW w:type="dxa" w:w="1"/>
            <w:tcMar>
              <w:top w:type="dxa" w:w="80"/>
              <w:left w:type="dxa" w:w="120"/>
              <w:bottom w:type="dxa" w:w="80"/>
              <w:right w:type="dxa" w:w="120"/>
            </w:tcMar>
          </w:tcPr>
          <w:p>
            <w:pPr>
              <w:spacing w:after="0" w:line="260"/>
            </w:pPr>
            <w:r>
              <w:rPr>
                <w:rFonts w:ascii="Georgia" w:cs="Georgia" w:eastAsia="Georgia" w:hAnsi="Georgia"/>
                <w:color w:val="1A1A1A"/>
                <w:sz w:val="20"/>
                <w:szCs w:val="20"/>
              </w:rPr>
              <w:t xml:space="preserve">Sequencing</w:t>
            </w:r>
          </w:p>
        </w:tc>
      </w:tr>
    </w:tbl>
    <w:p>
      <w:pPr>
        <w:spacing w:after="160" w:line="276"/>
      </w:pPr>
      <w:r>
        <w:rPr>
          <w:rFonts w:ascii="Georgia" w:cs="Georgia" w:eastAsia="Georgia" w:hAnsi="Georgia"/>
          <w:color w:val="1A1A1A"/>
          <w:sz w:val="22"/>
          <w:szCs w:val="22"/>
        </w:rPr>
        <w:t xml:space="default"/>
      </w:r>
    </w:p>
    <w:p>
      <w:pPr>
        <w:spacing w:after="160" w:line="276"/>
      </w:pPr>
      <w:r>
        <w:rPr>
          <w:rFonts w:ascii="Georgia" w:cs="Georgia" w:eastAsia="Georgia" w:hAnsi="Georgia"/>
          <w:color w:val="1A1A1A"/>
          <w:sz w:val="22"/>
          <w:szCs w:val="22"/>
        </w:rPr>
        <w:t xml:space="preserve">Once these two are answered, the next step is a single pass producing the finished one-pager (universal spine), the first bespoke skin for the lead target, and the poster mock — in that order.</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2026-07-23T04:09:40.071Z</dcterms:created>
  <dcterms:modified xsi:type="dcterms:W3CDTF">2026-07-23T04:09:40.090Z</dcterms:modified>
</cp:coreProperties>
</file>

<file path=docProps/custom.xml><?xml version="1.0" encoding="utf-8"?>
<Properties xmlns="http://schemas.openxmlformats.org/officeDocument/2006/custom-properties" xmlns:vt="http://schemas.openxmlformats.org/officeDocument/2006/docPropsVTypes"/>
</file>