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00000"/>
          <w:sz w:val="40"/>
          <w:szCs w:val="40"/>
        </w:rPr>
        <w:t xml:space="preserve">THE 1140-a COMPANY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Sponsor prospect research — Claude Fable 5 run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595959"/>
          <w:sz w:val="21"/>
          <w:szCs w:val="21"/>
        </w:rPr>
        <w:t xml:space="preserve">Tuesday 14 July 2026 · Prepared to the specification in "Sponsor research — prompt for Deep Research / Fable 5"</w:t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8B0000"/>
          <w:sz w:val="30"/>
          <w:szCs w:val="30"/>
        </w:rPr>
        <w:t xml:space="preserve">Method and honesty statement</w:t>
      </w:r>
    </w:p>
    <w:p>
      <w:pPr>
        <w:spacing w:after="120" w:before="0"/>
      </w:pPr>
      <w:r>
        <w:rPr>
          <w:rFonts w:ascii="Georgia" w:cs="Georgia" w:eastAsia="Georgia" w:hAnsi="Georgia"/>
          <w:sz w:val="21"/>
          <w:szCs w:val="21"/>
        </w:rPr>
        <w:t xml:space="preserve">Everything below is either (a) sourced, with the source named in the final column, or (b) explicitly labelled as inference or as "not found". Where a named individual appears, the source and its date are given; personnel change, so every name should be verified before approach. Amounts are quoted only where a source states them. Where the last-three-years evidence standard could not be met, the age of the evidence is flagged rather than hidden. Nothing has been invented. Sixteen distinct web research passes were run; this is one model's output and, per your own protocol, its value lies in the overlap with the Deep Research run.</w:t>
      </w:r>
    </w:p>
    <w:p>
      <w:pPr>
        <w:spacing w:after="60" w:before="0"/>
      </w:pPr>
      <w:r>
        <w:rPr>
          <w:rFonts w:ascii="Georgia" w:cs="Georgia" w:eastAsia="Georgia" w:hAnsi="Georgia"/>
          <w:sz w:val="21"/>
          <w:szCs w:val="21"/>
        </w:rPr>
        <w:t xml:space="preserve">One structural finding shapes everything: because The 1140-a Company holds no federal 501(c)(3) determination, most foundation grant programmes (Kelley, TD, Eastern Bank, and any programme requiring IRS public-charity status) are closed or complicated this year. Corporate sponsorship budgets — banks' event-sponsorship lines, marketing spend at brokerages and insurers, family-business giving — are the open door, because a sponsorship is deductible to them as an ordinary business expense regardless of your status. Rockland Trust's event-sponsorship programme explicitly accepts non-501(c)(3) community organisations, which makes it unusually valuable.</w:t>
      </w:r>
    </w:p>
    <w:p>
      <w:pPr>
        <w:spacing w:after="240" w:before="0"/>
      </w:pPr>
      <w:r>
        <w:rPr>
          <w:rFonts w:ascii="Georgia" w:cs="Georgia" w:eastAsia="Georgia" w:hAnsi="Georgia"/>
          <w:sz w:val="21"/>
          <w:szCs w:val="21"/>
        </w:rPr>
        <w:t xml:space="preserve">Second structural finding: the calendar. It is 14 July; the event is 29 August. Cape &amp; Coast requires 8 weeks' notice (already past); Rockland requires 6–8 weeks before the publicity deadline (borderline); Kelley takes up to six months (impossible). For 2026, the realistic route is principal-to-principal: a direct ask to a bank president, a family-business owner, or a foundation trustee who can decide in a phone call. The formal portals are the 2027 route — and worth filing for regardless, since a Year 2 exists in your operating thesis.</w:t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8B0000"/>
          <w:sz w:val="30"/>
          <w:szCs w:val="30"/>
        </w:rPr>
        <w:t xml:space="preserve">Category strength ranking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1. Cape banks and credit unions — strongest. Formal, marketing-minded event-sponsorship programmes with rolling intake; documented precedent of naming-level sponsorship of Cape events (Cape Cod 5 → CCBL; Coop/Cape &amp; Coast → Cape Symphony, AFCC; Rockland → cultural events by design). The exclusivity of a sole-sponsor offer is worth more to a bank than to anyone else on the Cape, because three of them compete for the same year-round depositors your ticket pricing targets.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2. Private and family foundations with an arts remit — strong fit, wrong clock. The Davenport arts foundation is the single best match on paper; Kelley and McGraw are proven Cape arts funders. But cycles are slow and several require tax-exempt status. File now for 2027.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3. Insurance — moderate-strong. RogersGray/Baldwin is Dennis-headquartered, has an AFCC funding credit within the last three years, and a rebrand to advertise.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4. Real estate — moderate-strong. Raveis and Kinlin Grover both show recent, visible Cape sponsorship behaviour; a front-row, clam-bake, meet-the-headliners package is bespoke client entertainment for a luxury brokerage.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5. Multi-generational family businesses — moderate. Davenport and Mid-Cape have structured giving; decisions are fast because they are personal. Arts precedent thinner (Davenport excepted).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6. Healthcare — weak for this event. CCHC's community-benefit money is legally steered to health-needs criteria; only its marketing arm could plausibly sponsor, and no arts precedent was found.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7. Utilities and energy — weak-moderate. Vineyard Wind is the interesting one (Barnstable is its host town and it buys goodwill systematically); Eversource's giving is centralised off-Cape.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8. Marine, hospitality, restaurants — weak for a single $17.5k cash ask; giving in these categories is habitually in-kind (Hy-Line's stated policy is passes, not cash). Better as barter partners (catering, transport) than as the sole sponsor.</w:t>
      </w:r>
    </w:p>
    <w:p>
      <w:pPr>
        <w:spacing w:after="240" w:before="0"/>
      </w:pPr>
      <w:r>
        <w:rPr>
          <w:rFonts w:ascii="Georgia" w:cs="Georgia" w:eastAsia="Georgia" w:hAnsi="Georgia"/>
          <w:sz w:val="21"/>
          <w:szCs w:val="21"/>
        </w:rPr>
        <w:t xml:space="preserve">9. Law, accountancy and wealth management — weakest on public evidence. Cape firms in these categories leave almost no public giving trail; what exists (La Tanzi's CCF fund) points to scholarships. This category is reached through introductions, not research.</w:t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8B0000"/>
          <w:sz w:val="30"/>
          <w:szCs w:val="30"/>
        </w:rPr>
        <w:t xml:space="preserve">Prospect table — Tier 1 (strongest: approach for 2026)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50"/>
        <w:gridCol w:w="2500"/>
        <w:gridCol w:w="3200"/>
        <w:gridCol w:w="1050"/>
        <w:gridCol w:w="1400"/>
        <w:gridCol w:w="1760"/>
      </w:tblGrid>
      <w:tr>
        <w:trPr>
          <w:tblHeader/>
        </w:trPr>
        <w:tc>
          <w:tcPr>
            <w:tcW w:type="dxa" w:w="19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Prospect</w:t>
            </w:r>
          </w:p>
        </w:tc>
        <w:tc>
          <w:tcPr>
            <w:tcW w:type="dxa" w:w="115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W w:type="dxa" w:w="25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Why plausible / likely budget</w:t>
            </w:r>
          </w:p>
        </w:tc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Documented Cape giving (evidence)</w:t>
            </w:r>
          </w:p>
        </w:tc>
        <w:tc>
          <w:tcPr>
            <w:tcW w:type="dxa" w:w="105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Venue link</w:t>
            </w:r>
          </w:p>
        </w:tc>
        <w:tc>
          <w:tcPr>
            <w:tcW w:type="dxa" w:w="14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Timing / cycle</w:t>
            </w:r>
          </w:p>
        </w:tc>
        <w:tc>
          <w:tcPr>
            <w:tcW w:type="dxa" w:w="176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John K. &amp; Thirza F. Davenport Foundation (The Davenport Companies, South Yarmouth)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Family foundation / family business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only Cape funder whose stated remit is a near-exact match: visual and performing arts in Barnstable County, with preference for one-time projects, Mid-Cape locations and matching-funded events. Budget: family arts foundation.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States it "will accept grant requests from Barnstable County based nonprofit organizations with a commitment to excellence in the visual and performing arts… Special consideration will be granted to Mid-Cape based and matching funded events."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Credited as a funder of the Arts Foundation of Cape Cod (AFCC) Capacity-Building Programme, Jan 2026. Sister foundation (Palmer &amp; Jane D.) awarded $230,000 to 26 Cape nonprofits in a recent round.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Online application; no published deadline. DeWitt Davenport oversees the family charitable efforts (sourced).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thedavenportcompanies.com/charitable-giving; artsfoundation.org (Jan 2026); 95wxtk.iheart.com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 Cod 5 (Cape Cod Five Cents Savings Bank)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Bank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Largest Cape community bank; formal Philanthropy / Community Support Applications programme; long record of naming-level event sponsorship. Budget: charitable giving / corporate sponsorship.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Annual event sponsorships for Housing Assistance Corp. et al. (funder spotlight, 2024). $10,000 league-wide Cape Cod Baseball League sponsorship (older evidence, 2018, sustained "more than a decade"). Sponsor of Philanthropy Partners of the Cape &amp; Islands (current).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Rolling online application (Community Support Applications portal). President named in 2024 source: Bert Talerman — verify before approach.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capecodfive.com/philanthropy; hpccapecod.org (2024); capecodgiving.org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 &amp; Coast Bank (formerly The Cooperative Bank of Cape Cod) + The Coop Foundation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Bank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Corporate Giving programme is explicitly sponsorship of programmes and events, with promotion of the bank as the stated aim — precisely a $17.5k exclusive-sponsor pitch. Budget: corporate giving (sponsorship), separate from foundation grants.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 sponsorship guidance: typical $500–$5,000 annual support; event requests "normally don't exceed $7,500" per organisation per year — a $17.5k sole ask exceeds published norms; may need splitting or a bespoke conversation. The Coop Foundation gave $5,000 to Cape Symphony (2022). Credited funder of AFCC grants (2024) and AFCC Capacity-Building Programme (Jan 2026).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Requests required at least 8 weeks before event — 29 Aug is inside that window; 2026 only via direct approach, formal route viable 2027. CEO named in sources: Lisa Oliver — verify.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thecooperativebankofcapecod.com (corporate giving); capeandcoastbank.com; artsfoundation.org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Rockland Trust / Rockland Trust Charitable Foundation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Bank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 Sponsorship programme explicitly covers cultural events and arts performances, caters to "both nonprofit and for-profit organizations", and expects "quantifiable recognition and visibility" — i.e. it is marketing-minded sponsorship, not charity. Notably does NOT require 501(c)(3) for event sponsorships (community-based organisations eligible) — important given 1140-a's status.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Foundations provided $3m+ in grants and sponsorships to 800+ organisations in 2021; $460,000 to 54 organisations in Q2 2022 alone. Cape Cod &amp; Islands named within giving footprint (Barnstable County listed in geographic service area).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Rolling, year-round, online portal only; applications must arrive a minimum of 6–8 weeks before the event's publicity deadline — very tight for 29 Aug; strong for 2027. Contact in sources: Andrea Borowiecki, VP Charitable Giving &amp; Community Engagement (2022) — verify.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rocklandtrust.com/about-us/explore/rockland-trust-charitable-foundation (+ Event Sponsorship Guidelines PDF)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South Shore Playhouse Associates, Inc. (owner-operator, Cape Cod Melody Tent)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Arts non-profit / presenter-funder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501(c)(3) presenter that reinvests ticket revenue into other Cape arts and education organisations — over $4m granted in recent years. It already funds Cape comedy-adjacent presenting and underwrites AFCC grantmaking. Caveat: it presents comedy at the Melody Tent (John Mulaney sold out two 2026 shows), so it is simultaneously a potential funder and a quasi-competitor.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"$4 million has already been distributed to other non-profit arts and education organizations over the past decade." Credited funder of AFCC annual grants (2024) and Capacity-Building Programme (Jan 2026).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Grant programme; no published deadline found — enquire directly (marketing@themusiccircus.org listed for partnerships).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melodytent.org/giving-back; melodytent.org/advertise-with-us; artsfoundation.org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RogersGray / The Baldwin Group (insurance)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Insurance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Headquartered in South Dennis — the organiser's own town; runs a community sponsorship programme and has a named charitable foundation fund at the Cape Cod Foundation. A locally-rooted firm recently rebranded under a national group has a marketing reason to buy visible Cape goodwill.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Credited funder of AFCC annual grant-giving (2024). Self-described community sponsorship programme, matching grants, and event sponsorship (Cape Cod Healthcare 5K etc., 2022 profile). Rogers &amp; Gray Charitable Foundation Fund at CCF: $46,000+ granted cumulatively (older evidence).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formal published cycle — relationship route via South Dennis leadership.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artsfoundation.org (2024); capeplymouthbusiness.com/rogersgray; capecodfoundation.org</w:t>
            </w:r>
          </w:p>
        </w:tc>
      </w:tr>
    </w:tbl>
    <w:p>
      <w:pPr>
        <w:spacing w:after="120" w:before="0"/>
      </w:pPr>
      <w:r>
        <w:rPr>
          <w:rFonts w:ascii="Georgia" w:cs="Georgia" w:eastAsia="Georgia" w:hAnsi="Georgia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8B0000"/>
          <w:sz w:val="30"/>
          <w:szCs w:val="30"/>
        </w:rPr>
        <w:t xml:space="preserve">Tier 2 (credible: approach selectively for 2026, file for 2027)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50"/>
        <w:gridCol w:w="2500"/>
        <w:gridCol w:w="3200"/>
        <w:gridCol w:w="1050"/>
        <w:gridCol w:w="1400"/>
        <w:gridCol w:w="1760"/>
      </w:tblGrid>
      <w:tr>
        <w:trPr>
          <w:tblHeader/>
        </w:trPr>
        <w:tc>
          <w:tcPr>
            <w:tcW w:type="dxa" w:w="19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Prospect</w:t>
            </w:r>
          </w:p>
        </w:tc>
        <w:tc>
          <w:tcPr>
            <w:tcW w:type="dxa" w:w="115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W w:type="dxa" w:w="25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Why plausible / likely budget</w:t>
            </w:r>
          </w:p>
        </w:tc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Documented Cape giving (evidence)</w:t>
            </w:r>
          </w:p>
        </w:tc>
        <w:tc>
          <w:tcPr>
            <w:tcW w:type="dxa" w:w="105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Venue link</w:t>
            </w:r>
          </w:p>
        </w:tc>
        <w:tc>
          <w:tcPr>
            <w:tcW w:type="dxa" w:w="14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Timing / cycle</w:t>
            </w:r>
          </w:p>
        </w:tc>
        <w:tc>
          <w:tcPr>
            <w:tcW w:type="dxa" w:w="176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William Raveis Real Estate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 estate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Repeat lead funder of Cape arts; Ryan Raveis appears among names featured by the AFCC. A luxury brokerage buying front-row association with a professional theatre event is orthodox marketing.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Credited lead funder of AFCC annual grants (2024) and Capacity-Building Programme (Jan 2026) — recent, sustained arts giving on the Cape.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formal programme found — approach via Cape offices / AFCC relationship.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artsfoundation.org (2024, 2026)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Kinlin Grover Compass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 estate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"Cape Cod's leading real estate brokerage" (their words); became a Cape Cod Baseball League sponsor in 2024 — demonstrates appetite for exactly this kind of visible, seasonal, community-audience sponsorship.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New CCBL sponsor, June 2024 (league announcement).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formal programme found — marketing decision; approach brokerage leadership.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capecodleague.com (19 Jun 2024)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Edward Bangs Kelley &amp; Elza Kelley Foundation ("Kelley Foundation")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 foundation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Barnstable County remit including arts &amp; culture; administered by the Cape Cod Foundation. A Kelly/Kelley Foundation is publicly thanked as sponsor of the Cape Cod Speaker Series at the Tilden Arts Center — i.e. a funder already paying for professional evenings in your exact room (spelling discrepancy in the Facebook post; verify identity).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Grants across arts &amp; culture in Barnstable County (foundation site; county grant-makers directory). Sponsorship of Cape Cod Speaker Series at Tilden (venue Facebook, "The Kelly Foundation"). $5m+ distributed over last 20 years (2020 affiliation announcement).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Yes — Tilden (Speaker Series sponsor, verify)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Rolling applications; Executive Committee meets monthly; review can take six months — impossible for Aug 2026; file early for 2027. Requires tax-exempt organisation: confirm whether Ch.180 status suffices or 501(c)(3)/fiscal sponsor needed.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kelleyfoundation.org/grants; facebook.com/happening.cccc; capecod.gov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Donald C. McGraw Foundation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 foundation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Repeat funder of Cape arts infrastructure via the AFCC — evidence of sustained appetite for Cape arts despite being an off-Cape family foundation.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Credited funder of AFCC annual grants (2024) and Capacity-Building Programme (Jan 2026).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public application route found — likely approach via AFCC relationship.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artsfoundation.org (2024, 2026)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 Cod Healthcare (marketing/sponsorship, not Community Benefits)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Healthcare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Community Benefits programme itself is a poor fit — grants of $5–10k tied to a Community Health Needs Assessment (behavioural health, access, housing). But CCHC sponsors and attends community events constantly, and an affordable-tickets, community-access framing gives its marketing arm a reason. Route the ask to marketing/foundation events, not Community Benefits.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Community Benefits: $300,000 across ~50 grants in latest round ($5,000–$10,000 typical) — health-aligned criteria. Foundation runs an active events/sponsorship operation (Eastward Ho! benefit etc.). Contact named in sources: Jennifer R. Cummings, associate director of development &amp; community benefits.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Community Benefits is an annual health-criteria cycle (poor fit). Sponsorship route: direct approach.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capecodhealth.org (community benefits; foundation events)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Vineyard Wind (Avangrid / CIP)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Energy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Barnstable is its host town (cable landfall at Covell's Beach; $16m host-community payment). Offshore wind developers buy local goodwill systematically; a family-priced community event in Barnstable is on-thesis. Inference: no Cape arts sponsorship specifically evidenced.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$16m payment to Town of Barnstable (host agreement, reported 2022). $4m Nantucket community fund seeded; first grants May 2024. Massachusetts community liaison named on its site: Dana Rebeiro.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formal local sponsorship portal found — approach the MA liaison directly.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vineyardwind.com/nantucket; cleantechnica.com (2022)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TD Bank / TD Charitable Foundation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Bank (national with Cape branches)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Credited funder of the AFCC Capacity-Building Programme (Jan 2026) — recent Cape arts giving through a formal foundation with regional discretion.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AFCC Capacity-Building Programme funder credit, Jan 2026.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National foundation cycles — likely too slow for Aug 2026.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artsfoundation.org (Jan 2026)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Eastern Bank / Eastern Bank Foundation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Bank (regional with Cape presence)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Credited funder of the AFCC Capacity-Building Programme (Jan 2026); one of the largest charitable bank foundations in Massachusetts.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AFCC Capacity-Building Programme funder credit, Jan 2026.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Foundation cycle — verify; likely 2027 route.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artsfoundation.org (Jan 2026)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Mid-Cape Home Centers (South Dennis HQ)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Family business / construction supply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130-year local firm with a formal donations/sponsorship request portal and a habit of hosting and sponsoring its own community events. Arts not documented — its giving skews housing, veterans, first responders — but it is Dennis-headquartered and marketing-active.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Sponsorship portal live (midcape.com/donations-request). $12,000 to Family Pantry / Support the Soupman; ~$15,000 raised for Cape &amp; Islands Veterans Outreach (2020); annual Housing Assistance Corp. sponsor. President named in 2020 source: Jack Stevenson — verify.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Rolling portal; no published lead time.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midcape.com/donations-request; capecodlife.com; haconcapecod.org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Seamen's Bank / Long Point Charitable Foundation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Bank (Outer/Lower Cape)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one Cape bank with documented performing-arts line items (Payomet, Tennessee Williams Theater Festival) — but its footprint is Provincetown–Brewster; West Barnstable sits outside it, and the CEO who drove giving (Lori Meads) retired May 2026. Weakened, not dead.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Annual report lists Payomet Performing Arts Center and Tennessee Williams Theater among supported organisations (2016 — older evidence). $7,500 Lower Cape Outreach Council; $3,750 Center for Coastal Studies (2020).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Leadership transition in progress (CEO retired 15 May 2026) — timing awkward.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seamensbank.com; addisonart.com (annual report PDF)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Davenport Companies (corporate giving programme, distinct from the arts foundation)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Family business (diversified)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Fifth-generation Yarmouth family group; underwrites the entire Seaside Le Mans event each year — proof it will fund event production wholesale, not merely donate. The double-ask risk with the family arts foundation (row 1) means choosing one door.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Seaside Le Mans: ~$9m raised for Cape nonprofits since 2001, event costs underwritten by the company. Holiday giving programme: $6,500–$10,000+ matched annually (2019–2023 news items).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Direct approach: DeWitt Davenport (CEO) / Christian Davenport (VP Operations) named in sources.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thedavenportcompanies.com; capecod.com newscentre items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 Air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Aviation / family-rooted Cape firm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Hyannis-headquartered, community-relations programme with a history of event sponsorship — but its donations/sponsorship intake is currently paused ("we will update this page… when we return to accepting requests").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Community-relations page lists past supported organisations; intake suspended as of page capture.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Programme paused — monitor; direct relationship only.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capeair.com/about_us/community-relations.html</w:t>
            </w:r>
          </w:p>
        </w:tc>
      </w:tr>
    </w:tbl>
    <w:p>
      <w:pPr>
        <w:spacing w:after="120" w:before="0"/>
      </w:pPr>
      <w:r>
        <w:rPr>
          <w:rFonts w:ascii="Georgia" w:cs="Georgia" w:eastAsia="Georgia" w:hAnsi="Georgia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8B0000"/>
          <w:sz w:val="30"/>
          <w:szCs w:val="30"/>
        </w:rPr>
        <w:t xml:space="preserve">Tier 3 (category-plausible; evidence thin or explicitly not found)</w:t>
      </w:r>
    </w:p>
    <w:p>
      <w:pPr>
        <w:spacing w:after="120" w:before="0"/>
      </w:pPr>
      <w:r>
        <w:rPr>
          <w:rFonts w:ascii="Georgia" w:cs="Georgia" w:eastAsia="Georgia" w:hAnsi="Georgia"/>
          <w:i/>
          <w:iCs/>
          <w:color w:val="595959"/>
          <w:sz w:val="21"/>
          <w:szCs w:val="21"/>
        </w:rPr>
        <w:t xml:space="preserve">Per your constraint, absence of evidence is stated rather than papered over. These are listed because the category logic is sound and a warm introduction would change their rank overnight.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50"/>
        <w:gridCol w:w="2500"/>
        <w:gridCol w:w="3200"/>
        <w:gridCol w:w="1050"/>
        <w:gridCol w:w="1400"/>
        <w:gridCol w:w="1760"/>
      </w:tblGrid>
      <w:tr>
        <w:trPr>
          <w:tblHeader/>
        </w:trPr>
        <w:tc>
          <w:tcPr>
            <w:tcW w:type="dxa" w:w="19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Prospect</w:t>
            </w:r>
          </w:p>
        </w:tc>
        <w:tc>
          <w:tcPr>
            <w:tcW w:type="dxa" w:w="115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Category</w:t>
            </w:r>
          </w:p>
        </w:tc>
        <w:tc>
          <w:tcPr>
            <w:tcW w:type="dxa" w:w="25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Why plausible / likely budget</w:t>
            </w:r>
          </w:p>
        </w:tc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Documented Cape giving (evidence)</w:t>
            </w:r>
          </w:p>
        </w:tc>
        <w:tc>
          <w:tcPr>
            <w:tcW w:type="dxa" w:w="105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Venue link</w:t>
            </w:r>
          </w:p>
        </w:tc>
        <w:tc>
          <w:tcPr>
            <w:tcW w:type="dxa" w:w="14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Timing / cycle</w:t>
            </w:r>
          </w:p>
        </w:tc>
        <w:tc>
          <w:tcPr>
            <w:tcW w:type="dxa" w:w="176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Bilezikian Family Foundation (Cuffy's of Cape Cod family)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Family foundation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Stated fields include the arts; listed in Barnstable County's directory of Cape grant-makers. No specific recent grant amounts found.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County directory listing only — no itemised giving found in this run.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capecod.gov (grant-makers directory)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 Tanzi, Spaulding &amp; Landreth (attorneys, Orleans)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Law firm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one Cape law firm with a named charitable vehicle found in this run (scholarship fund at the Cape Cod Foundation). Law-firm category otherwise thin on public evidence — giving is relationship-driven.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Named scholarship fund at Cape Cod Foundation (fund list). Event-level giving: 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capecodfoundation.org/our-funds-2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Lawrence-Lynch Corp. (construction, Falmouth)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Construction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Named foundation for charitable giving held at the Cape Cod Foundation — signal of structured giving; specifics not found.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Named fund at CCF (fund list). Itemised giving: 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capecodfoundation.org/our-funds-2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Willowbend (Mashpee club community)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Hospitality / club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"Willowbend Gives" fund at the Cape Cod Foundation; affluent member base. Specific grants: not found.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Named fund at CCF. Itemised giving: 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capecodfoundation.org/our-funds-2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Hy-Line Cruises (Scudder family)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Marine / family business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Multi-generational Hyannis family firm; sponsors community programmes (Cape Abilities). BUT: published donation policy is passes-in-kind, not cash — poor fit for a $17.5k cash ask.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 Abilities sponsor (Welcome to Cape Cod Beach Buckets). Policy: donates passes, not gift certificates/cash.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Written request policy (in-kind only)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hylinecruises.com; capeabilities.org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Eversource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Utility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Serves the Cape; large signature-event charitable operation ($6.1m raised via events, 2024) — but giving is centralised on marquee causes (marathon, children's hospitals); no Cape arts sponsorship evidenced. Weak fit.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Corporate partnerships page (2024 figures). Cape-specific arts giving: 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Centralised corporate programme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eversource.com (partnerships)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Chatham Bars Inn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Hospitality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Plausible on brand and clientele. No giving evidence found in this run — say so rather than guess.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Wequassett Resort &amp; Golf Club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Hospitality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Plausible (luxury, locally engaged). No giving evidence found in this run.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Ocean Edge Resort (Brewster)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Hospitality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Plausible. No giving evidence found in this run.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Catania Hospitality Group (Cape Codder Resort, Hearth 'n Kettle)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Hospitality / family business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Multi-generational Cape family restaurant/hotel group — category fit. No giving evidence found in this run.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Shepley Wood Products (Hyannis)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Construction supply / family business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 fit (locally owned, trade-facing). No giving evidence found in this run.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Safe Harbor Marinas (Cape locations)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Marine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 fit; national owner may have local marketing budgets. No Cape giving evidence found in this run.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MacDougalls' Cape Cod Marine Service (Falmouth)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Marine / family business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 fit. No giving evidence found in this run.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Dowling &amp; O'Neil Insurance (Hyannis)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Insurance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 fit (large local independent agency). No giving evidence found in this run.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Almeida &amp; Carlson Insurance (Sandwich)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Insurance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 fit. No giving evidence found in this run.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Alltrust Credit Union (formerly First Citizens', Falmouth/Mashpee presence)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 union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Category fit (credit unions with community programmes). No Cape giving evidence found in this run — verify directly.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found.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40" w:before="0"/>
      </w:pPr>
      <w:r>
        <w:rPr>
          <w:rFonts w:ascii="Georgia" w:cs="Georgia" w:eastAsia="Georgia" w:hAnsi="Georgia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8B0000"/>
          <w:sz w:val="30"/>
          <w:szCs w:val="30"/>
        </w:rPr>
        <w:t xml:space="preserve">Existing relationships with CCCC / Tilden / the Educational Foundation</w:t>
      </w:r>
    </w:p>
    <w:p>
      <w:pPr>
        <w:spacing w:after="240" w:before="0"/>
      </w:pPr>
      <w:r>
        <w:rPr>
          <w:rFonts w:ascii="Georgia" w:cs="Georgia" w:eastAsia="Georgia" w:hAnsi="Georgia"/>
          <w:sz w:val="21"/>
          <w:szCs w:val="21"/>
        </w:rPr>
        <w:t xml:space="preserve">Direct venue-relationship evidence was scarce in public sources. What was found: (1) The Kelly/Kelley Foundation is publicly thanked as sponsor of the Cape Cod Speaker Series, which performs at the Tilden Arts Center and donates a share of ticket revenue to the CCCC Educational Foundation — the closest thing to a warm, venue-adjacent funder identified, subject to verifying the spelling/identity discrepancy. (2) The Arts Foundation of Cape Cod has granted directly to the Tilden Arts Center ($2,500, "Shakespeare Under the Stars") and funded a $10,000 Wampanoag Nation Singers and Dancers production staged at Tilden — so the AFCC's funder network (Raveis, Cape &amp; Coast, RogersGray, SSPA, McGraw, Davenport, Kelley, TD, Eastern Bank) is, functionally, the Tilden funder network. (3) Payomet Performing Arts Center presents off-season shows at Tilden — its business-sponsor list (not publicly itemised) would be a useful comparable. The CCCC Educational Foundation itself (foundation@capecod.edu, 508 375 4015) will know its own corporate donors; since you are already negotiating with the venue, asking them directly is legitimate and fast.</w:t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8B0000"/>
          <w:sz w:val="30"/>
          <w:szCs w:val="30"/>
        </w:rPr>
        <w:t xml:space="preserve">Deadlines and cycles — what is impossible this year</w:t>
      </w:r>
    </w:p>
    <w:p>
      <w:pPr>
        <w:spacing w:after="240" w:before="0"/>
      </w:pPr>
      <w:r>
        <w:rPr>
          <w:rFonts w:ascii="Georgia" w:cs="Georgia" w:eastAsia="Georgia" w:hAnsi="Georgia"/>
          <w:sz w:val="21"/>
          <w:szCs w:val="21"/>
        </w:rPr>
        <w:t xml:space="preserve">Impossible or effectively impossible for 29 August 2026: Kelley Foundation (up to six months' review); TD Charitable and Eastern Bank foundations (formal cycles); Cape &amp; Coast Bank's formal event-sponsorship route (8-week minimum has passed — though a direct conversation with leadership is not bound by the portal). Borderline: Rockland Trust (6–8 weeks before the publicity deadline — if your publicity deadline is early August, you have missed it; if it is late July for print, you already had). Open: Davenport arts foundation (no published deadline), Cape Cod 5 (rolling), Mid-Cape (rolling portal), all direct/principal approaches. Paused: Cape Air. Everything closed for 2026 should be filed for 2027 in September–October, when your first event's press coverage becomes the strongest exhibit in the application.</w:t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8B0000"/>
          <w:sz w:val="30"/>
          <w:szCs w:val="30"/>
        </w:rPr>
        <w:t xml:space="preserve">The three to five strongest prospects, and why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1. John K. &amp; Thirza F. Davenport Foundation. The stated remit — performing arts, Barnstable County, one-time projects, Mid-Cape preference, matching-funded events — reads as though it were written for this event. The $0-profit structure and free community seats give the "matching/leveraged" character they say they prize. Family-controlled, so a decision can be fast. The ask may need reframing from "sponsorship" to "grant towards a one-time performing-arts event", and the $17.5k figure is above typical Cape arts grants — consider whether they take the whole or anchors a shared structure (which your one-sponsor rule currently forbids: a genuine tension to resolve).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2. Cape Cod 5. Deepest pockets among Cape community banks, a rolling application door, and a decade-plus record of exactly this kind of naming sponsorship. The exclusive front-row-plus-clam-bake package is a client-entertainment asset a bank can actually use.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3. Cape &amp; Coast Bank. Its corporate-giving language is the closest match to your offer ("provide a platform for us to promote both the organization we support and the Bank"). The $7,500 published event ceiling and the missed 8-week window mean 2026 requires a direct leadership conversation; a rebranding bank has an unusual, time-limited appetite for name visibility.</w:t>
      </w:r>
    </w:p>
    <w:p>
      <w:pPr>
        <w:spacing w:after="80" w:before="0"/>
      </w:pPr>
      <w:r>
        <w:rPr>
          <w:rFonts w:ascii="Georgia" w:cs="Georgia" w:eastAsia="Georgia" w:hAnsi="Georgia"/>
          <w:sz w:val="21"/>
          <w:szCs w:val="21"/>
        </w:rPr>
        <w:t xml:space="preserve">4. Rockland Trust. The only formal programme found that (a) names arts performances as a sponsorship category, (b) does not require 501(c)(3), and (c) runs rolling intake. The clock is the only enemy.</w:t>
      </w:r>
    </w:p>
    <w:p>
      <w:pPr>
        <w:spacing w:after="240" w:before="0"/>
      </w:pPr>
      <w:r>
        <w:rPr>
          <w:rFonts w:ascii="Georgia" w:cs="Georgia" w:eastAsia="Georgia" w:hAnsi="Georgia"/>
          <w:sz w:val="21"/>
          <w:szCs w:val="21"/>
        </w:rPr>
        <w:t xml:space="preserve">5. RogersGray / The Baldwin Group. Hometown (South Dennis), recent Cape-arts funding credit, a national rebrand to localise, and — not trivially — an insurance broker is someone your production needs anyway, which creates a natural first meeting.</w:t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8B0000"/>
          <w:sz w:val="30"/>
          <w:szCs w:val="30"/>
        </w:rPr>
        <w:t xml:space="preserve">Second run — individuals and family offices</w:t>
      </w:r>
    </w:p>
    <w:p>
      <w:pPr>
        <w:spacing w:after="120" w:before="0"/>
      </w:pPr>
      <w:r>
        <w:rPr>
          <w:rFonts w:ascii="Georgia" w:cs="Georgia" w:eastAsia="Georgia" w:hAnsi="Georgia"/>
          <w:sz w:val="21"/>
          <w:szCs w:val="21"/>
        </w:rPr>
        <w:t xml:space="preserve">Per the narrower brief: individuals with a documented Cape connection and a documented interest in the arts or live performance, with no speculation about personal wealth. The pool that survives the evidence standard is small.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3200"/>
        <w:gridCol w:w="3100"/>
        <w:gridCol w:w="2160"/>
      </w:tblGrid>
      <w:tr>
        <w:trPr>
          <w:tblHeader/>
        </w:trPr>
        <w:tc>
          <w:tcPr>
            <w:tcW w:type="dxa" w:w="21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4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Cape connection</w:t>
            </w:r>
          </w:p>
        </w:tc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of arts / performance interest</w:t>
            </w:r>
          </w:p>
        </w:tc>
        <w:tc>
          <w:tcPr>
            <w:tcW w:type="dxa" w:w="31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of philanthropic giving</w:t>
            </w:r>
          </w:p>
        </w:tc>
        <w:tc>
          <w:tcPr>
            <w:tcW w:type="dxa" w:w="216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Ken Fulk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Provincetown resident (with husband Kurt Wootton); owner-restorer of the Mary Heaton Vorse house, Commercial Street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Founder, Provincetown Arts Society / Saint Joseph's Arts Foundation (501(c)(3) with a Provincetown arm); runs the Vorse house as an artists' residency and gallery; film collaborations with Provincetown Film Society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Personally underwrites the Vorse house residency; foundation presents exhibitions and benefit events with FAWC and PAAM</w:t>
            </w:r>
          </w:p>
        </w:tc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kenfulk.com/about; capecodlife.com ("The Artist Whisperer"); fawc.org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DeWitt Davenport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South Yarmouth; CEO, The Davenport Companies (fifth-generation Cape family)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Oversees the John K. &amp; Thirza F. Davenport Foundation for the visual and performing arts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Created Seaside Le Mans (2001), ~$9m raised for Cape nonprofits, event underwritten by his company; past chair, Cape Cod Healthcare board</w:t>
            </w:r>
          </w:p>
        </w:tc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95wxtk.iheart.com; thedavenportcompanies.com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Trish Kennedy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Cape-connected donor (context: AFCC)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Named lead individual funder of the Arts Foundation of Cape Cod's annual grant-giving (2024)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AFCC grant-round funding credit, 2024</w:t>
            </w:r>
          </w:p>
        </w:tc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artsfoundation.org (Apr 2024)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Ryan Raveis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Co-president, William Raveis Inc. (major Cape brokerage); featured by AFCC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Listed among names featured on the AFCC site (context unclear — likely honorary/ambassadorial; verify)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Firm is a repeat lead funder of AFCC grants (2024, 2026)</w:t>
            </w:r>
          </w:p>
        </w:tc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artsfoundation.org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Note on comedy-specific patrons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individual with BOTH a documented Cape connection AND a documented comedy interest AND documented giving was findable in this run. That is a statement of absence, not of impossibility: comedy-adjacent patrons cluster around South Shore Playhouse Associates (Melody Tent) and the Cape Cod Speaker Series boards — those membership lists are the place to look next, ideally through someone who can make an introduction.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40" w:before="0"/>
      </w:pPr>
      <w:r>
        <w:rPr>
          <w:rFonts w:ascii="Georgia" w:cs="Georgia" w:eastAsia="Georgia" w:hAnsi="Georgia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Georgia" w:cs="Georgia" w:eastAsia="Georgia" w:hAnsi="Georgia"/>
          <w:b/>
          <w:bCs/>
          <w:color w:val="8B0000"/>
          <w:sz w:val="30"/>
          <w:szCs w:val="30"/>
        </w:rPr>
        <w:t xml:space="preserve">What was not findable in this run</w:t>
      </w:r>
    </w:p>
    <w:p>
      <w:pPr>
        <w:spacing w:after="120" w:before="0"/>
      </w:pPr>
      <w:r>
        <w:rPr>
          <w:rFonts w:ascii="Georgia" w:cs="Georgia" w:eastAsia="Georgia" w:hAnsi="Georgia"/>
          <w:sz w:val="21"/>
          <w:szCs w:val="21"/>
        </w:rPr>
        <w:t xml:space="preserve">Named giving-decision individuals for most prospects (only those cited above were sourced, several from dated material); itemised sponsor lists for the Cape Cod Melody Tent, Payomet and Cape Symphony (their sponsor pages exist but do not enumerate sponsors in crawlable text — reading their printed programmes or asking their development offices would close this gap); any public list of CCCC Educational Foundation corporate donors; grant amounts for the McGraw, Bilezikian and Willowbend vehicles; and any individual satisfying all three tests of Cape connection, comedy interest and documented giving. These absences are reported per your constraint rather than filled with plausible fabrication.</w:t>
      </w:r>
    </w:p>
    <w:p>
      <w:pPr>
        <w:spacing w:after="120" w:before="0"/>
      </w:pPr>
      <w:r>
        <w:rPr>
          <w:rFonts w:ascii="Georgia" w:cs="Georgia" w:eastAsia="Georgia" w:hAnsi="Georgia"/>
          <w:i/>
          <w:iCs/>
          <w:color w:val="595959"/>
          <w:sz w:val="21"/>
          <w:szCs w:val="21"/>
        </w:rPr>
        <w:t xml:space="preserve">Suggested cross-check: run the identical prompt through Deep Research as planned; the overlap set will almost certainly centre on the Cape banks, the Davenport and Kelley foundations, and the AFCC funder network — if it does not, interrogate the divergence before trusting either list.</w:t>
      </w:r>
    </w:p>
    <w:sectPr>
      <w:pgSz w:w="12240" w:h="158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2026-07-14T21:03:48.632Z</dcterms:created>
  <dcterms:modified xsi:type="dcterms:W3CDTF">2026-07-14T21:03:48.645Z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