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6B7080"/>
          <w:spacing w:val="26"/>
          <w:sz w:val="17"/>
          <w:szCs w:val="17"/>
        </w:rPr>
        <w:t xml:space="preserve">THE 1140A CORPORATION · 1140A.COM</w:t>
      </w:r>
    </w:p>
    <w:p>
      <w:pPr>
        <w:spacing w:after="60"/>
      </w:pPr>
      <w:r>
        <w:rPr>
          <w:b/>
          <w:bCs/>
          <w:color w:val="20243A"/>
          <w:sz w:val="44"/>
          <w:szCs w:val="44"/>
        </w:rPr>
        <w:t xml:space="preserve">TICKETING PLATFORM — BUILD REPORT</w:t>
      </w:r>
    </w:p>
    <w:p>
      <w:pPr>
        <w:pBdr>
          <w:bottom w:val="single" w:color="B47F2B" w:sz="6" w:space="6"/>
        </w:pBdr>
        <w:spacing w:after="260"/>
      </w:pPr>
      <w:r>
        <w:rPr>
          <w:b/>
          <w:bCs/>
          <w:color w:val="B47F2B"/>
          <w:sz w:val="21"/>
          <w:szCs w:val="21"/>
        </w:rPr>
        <w:t xml:space="preserve">Step One delivered · The Cape Cod Comedy Carnival · Sat 29 Aug 2026 · Tilden Arts Center</w:t>
      </w:r>
    </w:p>
    <w:p>
      <w:pPr>
        <w:spacing w:after="130" w:line="288"/>
      </w:pPr>
      <w:r>
        <w:t xml:space="preserve">Prepared 28 July 2026 against </w:t>
      </w:r>
      <w:r>
        <w:rPr>
          <w:i/>
          <w:iCs/>
        </w:rPr>
        <w:t xml:space="preserve">Ticketing_Build_Brief_1140A.docx</w:t>
      </w:r>
      <w:r>
        <w:t xml:space="preserve">, your seating files (</w:t>
      </w:r>
      <w:r>
        <w:rPr>
          <w:i/>
          <w:iCs/>
        </w:rPr>
        <w:t xml:space="preserve">Tilden Seating - Final Option.xlsx</w:t>
      </w:r>
      <w:r>
        <w:t xml:space="preserve">, the venue chart, </w:t>
      </w:r>
      <w:r>
        <w:rPr>
          <w:i/>
          <w:iCs/>
        </w:rPr>
        <w:t xml:space="preserve">Seating Explanation.txt</w:t>
      </w:r>
      <w:r>
        <w:t xml:space="preserve">), and your answers this afternoon (pricing locked at 55/44/33/24 and 88/66/55/38; pit rows tightened to the stage; the box-office prototype's aesthetic carried over). Per the brief's rule, anything the platform can't yet do is </w:t>
      </w:r>
      <w:r>
        <w:rPr>
          <w:b/>
          <w:bCs/>
        </w:rPr>
        <w:t xml:space="preserve">flagged here in the open</w:t>
      </w:r>
      <w:r>
        <w:t xml:space="preserve"> rather than quietly dropped — see section 5.</w:t>
      </w:r>
    </w:p>
    <w:p>
      <w:pPr>
        <w:pStyle w:val="Heading1"/>
        <w:spacing w:after="140" w:before="340"/>
      </w:pPr>
      <w:r>
        <w:rPr>
          <w:b/>
          <w:bCs/>
          <w:color w:val="20243A"/>
        </w:rPr>
        <w:t xml:space="preserve">1 · What exists as of today</w:t>
      </w:r>
    </w:p>
    <w:p>
      <w:pPr>
        <w:spacing w:after="130" w:line="288"/>
      </w:pPr>
      <w:r>
        <w:t xml:space="preserve">Three self-contained files — a working, testable purchase flow with no server and no build step, exactly the same-day priority the brief set. </w:t>
      </w:r>
      <w:r>
        <w:rPr>
          <w:b/>
          <w:bCs/>
        </w:rPr>
        <w:t xml:space="preserve">index.html</w:t>
      </w:r>
      <w:r>
        <w:t xml:space="preserve"> is the buyer site: the three-way show picker (SAGALOW / CANNON / the both-shows pass, currently named CARNIVAL and edited in one place), the interactive seat map drawn from the venue's printed chart with TA and TB sitting in the pit against the stage and row C a breath behind, reserved seat-picking for Orchestra and Tier 1, unreserved Tier 2 and Balcony with the fill-from-the-back meter, a three-minute cart hold that releases automatically, checkout handoff to Zeffy's $0-fee forms, wheelchair booking behind a genuine scroll-to-the-end terms gate, the three contact routes, the reassuring mature-language notice, the two-tier mailing list, the merch COMING SOON pocket, and Google's Event structured data. </w:t>
      </w:r>
      <w:r>
        <w:rPr>
          <w:b/>
          <w:bCs/>
        </w:rPr>
        <w:t xml:space="preserve">admin.html</w:t>
      </w:r>
      <w:r>
        <w:t xml:space="preserve"> is your console: sold-by-pass-and-zone, revenue, the pace chart against your 20-a-day line with a release-or-pull recommendation, a click-to-block/release seat manager across all three pass views, every §10 house move as one button, and state export/import. </w:t>
      </w:r>
      <w:r>
        <w:rPr>
          <w:b/>
          <w:bCs/>
        </w:rPr>
        <w:t xml:space="preserve">door.html</w:t>
      </w:r>
      <w:r>
        <w:t xml:space="preserve"> rehearses the door: paste or camera-scan, VALID / ALREADY IN / VOID, and a gold banner that shouts when a both-shows pass walks up.</w:t>
      </w:r>
    </w:p>
    <w:p>
      <w:pPr>
        <w:spacing w:after="130" w:line="288"/>
      </w:pPr>
      <w:r>
        <w:t xml:space="preserve">The whole site sits behind the password </w:t>
      </w:r>
      <w:r>
        <w:rPr>
          <w:rFonts w:ascii="Consolas" w:cs="Consolas" w:eastAsia="Consolas" w:hAnsi="Consolas"/>
          <w:sz w:val="19"/>
          <w:szCs w:val="19"/>
        </w:rPr>
        <w:t xml:space="preserve">pitrow</w:t>
      </w:r>
      <w:r>
        <w:t xml:space="preserve"> (console: </w:t>
      </w:r>
      <w:r>
        <w:rPr>
          <w:rFonts w:ascii="Consolas" w:cs="Consolas" w:eastAsia="Consolas" w:hAnsi="Consolas"/>
          <w:sz w:val="19"/>
          <w:szCs w:val="19"/>
        </w:rPr>
        <w:t xml:space="preserve">greenroom</w:t>
      </w:r>
      <w:r>
        <w:t xml:space="preserve">). Going public is one toggle — </w:t>
      </w:r>
      <w:r>
        <w:rPr>
          <w:rFonts w:ascii="Consolas" w:cs="Consolas" w:eastAsia="Consolas" w:hAnsi="Consolas"/>
          <w:sz w:val="19"/>
          <w:szCs w:val="19"/>
        </w:rPr>
        <w:t xml:space="preserve">CONFIG.gate.enabled:false</w:t>
      </w:r>
      <w:r>
        <w:t xml:space="preserve"> — the flip-the-switch the brief required. Demo mode (</w:t>
      </w:r>
      <w:r>
        <w:rPr>
          <w:rFonts w:ascii="Consolas" w:cs="Consolas" w:eastAsia="Consolas" w:hAnsi="Consolas"/>
          <w:sz w:val="19"/>
          <w:szCs w:val="19"/>
        </w:rPr>
        <w:t xml:space="preserve">CONFIG.demo</w:t>
      </w:r>
      <w:r>
        <w:t xml:space="preserve">) seeds a believable first week of sales so every screen has something to show; switch it off for a clean launch state.</w:t>
      </w:r>
    </w:p>
    <w:p>
      <w:pPr>
        <w:pStyle w:val="Heading1"/>
        <w:spacing w:after="140" w:before="340"/>
      </w:pPr>
      <w:r>
        <w:rPr>
          <w:b/>
          <w:bCs/>
          <w:color w:val="20243A"/>
        </w:rPr>
        <w:t xml:space="preserve">2 · The house, as encoded</w:t>
      </w:r>
    </w:p>
    <w:p>
      <w:pPr>
        <w:spacing w:after="130" w:line="288"/>
      </w:pPr>
      <w:r>
        <w:t xml:space="preserve">The map is transcribed seat-for-seat from the venue chart: odd seats house-left, even house-right, the 115→101 centre block, TP and TQ flanking P and Q, the control and projection booths, and the balcony's short DD/EE centre rows. 649 physical positions plus the two-chair spaces A/B and three-chair spaces C/D in row K. Zones follow the brief: Orchestra = TA, TB, C (reserved) · Tier 1 = D–J (reserved) · Tier 2 = K–Q with TP/TQ (unreserved) · Balcony = AA–EE (unreserved).</w:t>
      </w:r>
    </w:p>
    <w:tbl>
      <w:tblPr>
        <w:tblW w:type="dxa" w:w="965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50"/>
        <w:gridCol w:w="1550"/>
        <w:gridCol w:w="2450"/>
      </w:tblGrid>
      <w:tr>
        <w:tc>
          <w:tcPr>
            <w:tcW w:type="dxa" w:w="2600"/>
            <w:tcBorders>
              <w:top w:val="single" w:color="C9C4B5" w:sz="4"/>
              <w:left w:val="single" w:color="C9C4B5" w:sz="4"/>
              <w:bottom w:val="single" w:color="C9C4B5" w:sz="4"/>
              <w:right w:val="single" w:color="C9C4B5" w:sz="4"/>
            </w:tcBorders>
            <w:shd w:fill="F2EDE1" w:val="clear"/>
            <w:tcMar>
              <w:top w:type="dxa" w:w="70"/>
              <w:left w:type="dxa" w:w="110"/>
              <w:bottom w:type="dxa" w:w="70"/>
              <w:right w:type="dxa" w:w="110"/>
            </w:tcMar>
          </w:tcPr>
          <w:p>
            <w:pPr>
              <w:spacing w:after="0"/>
            </w:pPr>
            <w:r>
              <w:rPr>
                <w:b/>
                <w:bCs/>
                <w:color w:val="20243A"/>
                <w:sz w:val="19"/>
                <w:szCs w:val="19"/>
              </w:rPr>
              <w:t xml:space="preserve">Zone</w:t>
            </w:r>
          </w:p>
        </w:tc>
        <w:tc>
          <w:tcPr>
            <w:tcW w:type="dxa" w:w="1500"/>
            <w:tcBorders>
              <w:top w:val="single" w:color="C9C4B5" w:sz="4"/>
              <w:left w:val="single" w:color="C9C4B5" w:sz="4"/>
              <w:bottom w:val="single" w:color="C9C4B5" w:sz="4"/>
              <w:right w:val="single" w:color="C9C4B5" w:sz="4"/>
            </w:tcBorders>
            <w:shd w:fill="F2EDE1" w:val="clear"/>
            <w:tcMar>
              <w:top w:type="dxa" w:w="70"/>
              <w:left w:type="dxa" w:w="110"/>
              <w:bottom w:type="dxa" w:w="70"/>
              <w:right w:type="dxa" w:w="110"/>
            </w:tcMar>
          </w:tcPr>
          <w:p>
            <w:pPr>
              <w:spacing w:after="0"/>
            </w:pPr>
            <w:r>
              <w:rPr>
                <w:b/>
                <w:bCs/>
                <w:color w:val="20243A"/>
                <w:sz w:val="19"/>
                <w:szCs w:val="19"/>
              </w:rPr>
              <w:t xml:space="preserve">Physical</w:t>
            </w:r>
          </w:p>
        </w:tc>
        <w:tc>
          <w:tcPr>
            <w:tcW w:type="dxa" w:w="1550"/>
            <w:tcBorders>
              <w:top w:val="single" w:color="C9C4B5" w:sz="4"/>
              <w:left w:val="single" w:color="C9C4B5" w:sz="4"/>
              <w:bottom w:val="single" w:color="C9C4B5" w:sz="4"/>
              <w:right w:val="single" w:color="C9C4B5" w:sz="4"/>
            </w:tcBorders>
            <w:shd w:fill="F2EDE1" w:val="clear"/>
            <w:tcMar>
              <w:top w:type="dxa" w:w="70"/>
              <w:left w:type="dxa" w:w="110"/>
              <w:bottom w:type="dxa" w:w="70"/>
              <w:right w:type="dxa" w:w="110"/>
            </w:tcMar>
          </w:tcPr>
          <w:p>
            <w:pPr>
              <w:spacing w:after="0"/>
            </w:pPr>
            <w:r>
              <w:rPr>
                <w:b/>
                <w:bCs/>
                <w:color w:val="20243A"/>
                <w:sz w:val="19"/>
                <w:szCs w:val="19"/>
              </w:rPr>
              <w:t xml:space="preserve">Held back</w:t>
            </w:r>
          </w:p>
        </w:tc>
        <w:tc>
          <w:tcPr>
            <w:tcW w:type="dxa" w:w="1550"/>
            <w:tcBorders>
              <w:top w:val="single" w:color="C9C4B5" w:sz="4"/>
              <w:left w:val="single" w:color="C9C4B5" w:sz="4"/>
              <w:bottom w:val="single" w:color="C9C4B5" w:sz="4"/>
              <w:right w:val="single" w:color="C9C4B5" w:sz="4"/>
            </w:tcBorders>
            <w:shd w:fill="F2EDE1" w:val="clear"/>
            <w:tcMar>
              <w:top w:type="dxa" w:w="70"/>
              <w:left w:type="dxa" w:w="110"/>
              <w:bottom w:type="dxa" w:w="70"/>
              <w:right w:type="dxa" w:w="110"/>
            </w:tcMar>
          </w:tcPr>
          <w:p>
            <w:pPr>
              <w:spacing w:after="0"/>
            </w:pPr>
            <w:r>
              <w:rPr>
                <w:b/>
                <w:bCs/>
                <w:color w:val="20243A"/>
                <w:sz w:val="19"/>
                <w:szCs w:val="19"/>
              </w:rPr>
              <w:t xml:space="preserve">Sellable now</w:t>
            </w:r>
          </w:p>
        </w:tc>
        <w:tc>
          <w:tcPr>
            <w:tcW w:type="dxa" w:w="2450"/>
            <w:tcBorders>
              <w:top w:val="single" w:color="C9C4B5" w:sz="4"/>
              <w:left w:val="single" w:color="C9C4B5" w:sz="4"/>
              <w:bottom w:val="single" w:color="C9C4B5" w:sz="4"/>
              <w:right w:val="single" w:color="C9C4B5" w:sz="4"/>
            </w:tcBorders>
            <w:shd w:fill="F2EDE1" w:val="clear"/>
            <w:tcMar>
              <w:top w:type="dxa" w:w="70"/>
              <w:left w:type="dxa" w:w="110"/>
              <w:bottom w:type="dxa" w:w="70"/>
              <w:right w:type="dxa" w:w="110"/>
            </w:tcMar>
          </w:tcPr>
          <w:p>
            <w:pPr>
              <w:spacing w:after="0"/>
            </w:pPr>
            <w:r>
              <w:rPr>
                <w:b/>
                <w:bCs/>
                <w:color w:val="20243A"/>
                <w:sz w:val="19"/>
                <w:szCs w:val="19"/>
              </w:rPr>
              <w:t xml:space="preserve">Hold mechanics</w:t>
            </w:r>
          </w:p>
        </w:tc>
      </w:tr>
      <w:tr>
        <w:tc>
          <w:tcPr>
            <w:tcW w:type="dxa" w:w="26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Orchestra (TA, TB, C)</w:t>
            </w:r>
          </w:p>
        </w:tc>
        <w:tc>
          <w:tcPr>
            <w:tcW w:type="dxa" w:w="15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69</w:t>
            </w:r>
          </w:p>
        </w:tc>
        <w:tc>
          <w:tcPr>
            <w:tcW w:type="dxa" w:w="15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13 sponsor · 2 marketing</w:t>
            </w:r>
          </w:p>
        </w:tc>
        <w:tc>
          <w:tcPr>
            <w:tcW w:type="dxa" w:w="15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54</w:t>
            </w:r>
          </w:p>
        </w:tc>
        <w:tc>
          <w:tcPr>
            <w:tcW w:type="dxa" w:w="24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blocked on the map</w:t>
            </w:r>
          </w:p>
        </w:tc>
      </w:tr>
      <w:tr>
        <w:tc>
          <w:tcPr>
            <w:tcW w:type="dxa" w:w="26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Tier 1 (D–J)</w:t>
            </w:r>
          </w:p>
        </w:tc>
        <w:tc>
          <w:tcPr>
            <w:tcW w:type="dxa" w:w="15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225</w:t>
            </w:r>
          </w:p>
        </w:tc>
        <w:tc>
          <w:tcPr>
            <w:tcW w:type="dxa" w:w="15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4 marketing (I/J 19–20)</w:t>
            </w:r>
          </w:p>
        </w:tc>
        <w:tc>
          <w:tcPr>
            <w:tcW w:type="dxa" w:w="15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221</w:t>
            </w:r>
          </w:p>
        </w:tc>
        <w:tc>
          <w:tcPr>
            <w:tcW w:type="dxa" w:w="24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blocked on the map</w:t>
            </w:r>
          </w:p>
        </w:tc>
      </w:tr>
      <w:tr>
        <w:tc>
          <w:tcPr>
            <w:tcW w:type="dxa" w:w="26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Tier 2 (K–Q, TP/TQ)</w:t>
            </w:r>
          </w:p>
        </w:tc>
        <w:tc>
          <w:tcPr>
            <w:tcW w:type="dxa" w:w="15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206</w:t>
            </w:r>
          </w:p>
        </w:tc>
        <w:tc>
          <w:tcPr>
            <w:tcW w:type="dxa" w:w="15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4 companion · 7 volunteer · 10 marketing</w:t>
            </w:r>
          </w:p>
        </w:tc>
        <w:tc>
          <w:tcPr>
            <w:tcW w:type="dxa" w:w="15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185</w:t>
            </w:r>
          </w:p>
        </w:tc>
        <w:tc>
          <w:tcPr>
            <w:tcW w:type="dxa" w:w="24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absent from GA count</w:t>
            </w:r>
          </w:p>
        </w:tc>
      </w:tr>
      <w:tr>
        <w:tc>
          <w:tcPr>
            <w:tcW w:type="dxa" w:w="26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Balcony (AA–EE)</w:t>
            </w:r>
          </w:p>
        </w:tc>
        <w:tc>
          <w:tcPr>
            <w:tcW w:type="dxa" w:w="15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149</w:t>
            </w:r>
          </w:p>
        </w:tc>
        <w:tc>
          <w:tcPr>
            <w:tcW w:type="dxa" w:w="15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28 marketing &amp; charity</w:t>
            </w:r>
          </w:p>
        </w:tc>
        <w:tc>
          <w:tcPr>
            <w:tcW w:type="dxa" w:w="15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121</w:t>
            </w:r>
          </w:p>
        </w:tc>
        <w:tc>
          <w:tcPr>
            <w:tcW w:type="dxa" w:w="24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absent from GA count</w:t>
            </w:r>
          </w:p>
        </w:tc>
      </w:tr>
    </w:tbl>
    <w:p>
      <w:pPr>
        <w:spacing w:after="60"/>
      </w:pPr>
    </w:p>
    <w:p>
      <w:pPr>
        <w:spacing w:after="130" w:line="288"/>
      </w:pPr>
      <w:r>
        <w:t xml:space="preserve">Wheelchair geometry decoded cleanly: spaces A and B occupy the gap where odd seats 7–13 would sit, C where centre 107–109 would, D where evens 8–12 would — which is exactly why your §10 conversion map reads the way it does. Each conversion is one button in the console (no rebuild), returns the listed chairs to GA inventory, and releases the paired companion seat. Every hold above is likewise a one-click release, plus a “pull ten more into marketing” for slow weeks — your fast/slow marketing rule is printed right on that screen.</w:t>
      </w:r>
    </w:p>
    <w:p>
      <w:pPr>
        <w:spacing w:after="130" w:line="288"/>
      </w:pPr>
      <w:r>
        <w:t xml:space="preserve">Two source ambiguities to rule on at your leisure (both are one-click either way): </w:t>
      </w:r>
      <w:r>
        <w:rPr>
          <w:b/>
          <w:bCs/>
        </w:rPr>
        <w:t xml:space="preserve">(a)</w:t>
      </w:r>
      <w:r>
        <w:t xml:space="preserve"> the brief says “SPONSOR (12 seats): TA-108, and TA/TB 110–115” — that lists thirteen; I blocked all thirteen, with TA-108 doubling as the orchestra wheelchair conversion point (“two chairs removable”). </w:t>
      </w:r>
      <w:r>
        <w:rPr>
          <w:b/>
          <w:bCs/>
        </w:rPr>
        <w:t xml:space="preserve">(b)</w:t>
      </w:r>
      <w:r>
        <w:t xml:space="preserve"> K-106 appears in both the companion list and the volunteer range 101–111; I honoured the explicit companion list and set volunteers to 101–105, 110, 111.</w:t>
      </w:r>
    </w:p>
    <w:p>
      <w:pPr>
        <w:pStyle w:val="Heading1"/>
        <w:spacing w:after="140" w:before="340"/>
      </w:pPr>
      <w:r>
        <w:rPr>
          <w:b/>
          <w:bCs/>
          <w:color w:val="20243A"/>
        </w:rPr>
        <w:t xml:space="preserve">3 · Two shows, one house — how selling works</w:t>
      </w:r>
    </w:p>
    <w:p>
      <w:pPr>
        <w:spacing w:after="130" w:line="288"/>
      </w:pPr>
      <w:r>
        <w:t xml:space="preserve">Every seat carries two sellable slots — one per show. A SAGALOW buyer takes that seat's Sagalow slot; a CANNON buyer can still buy the same physical seat for the other show; a CARNIVAL buyer takes both slots at once. The map recolours per pass view, and a pass seat only shows available when the seat is free for both shows — with a courteous nudge toward the open single when it's half-taken. Unreserved zones run the same way on counts (185 Tier 2, 121 Balcony per show; a pass consumes one from each show's pool). Set times aren't in any document I have, so the site says the schedule lands in ticket emails — the copy lives in </w:t>
      </w:r>
      <w:r>
        <w:rPr>
          <w:rFonts w:ascii="Consolas" w:cs="Consolas" w:eastAsia="Consolas" w:hAnsi="Consolas"/>
          <w:sz w:val="19"/>
          <w:szCs w:val="19"/>
        </w:rPr>
        <w:t xml:space="preserve">CONFIG.event.scheduleNote</w:t>
      </w:r>
      <w:r>
        <w:t xml:space="preserve"> for the moment you lock times and running order.</w:t>
      </w:r>
    </w:p>
    <w:p>
      <w:pPr>
        <w:pStyle w:val="Heading1"/>
        <w:spacing w:after="140" w:before="340"/>
      </w:pPr>
      <w:r>
        <w:rPr>
          <w:b/>
          <w:bCs/>
          <w:color w:val="20243A"/>
        </w:rPr>
        <w:t xml:space="preserve">5 · Zeffy — verified, and the honest gaps</w:t>
      </w:r>
    </w:p>
    <w:p>
      <w:pPr>
        <w:spacing w:after="130" w:line="288"/>
      </w:pPr>
      <w:r>
        <w:t xml:space="preserve">Checked against Zeffy's current documentation this afternoon, as the brief demanded. The plan below uses Zeffy for everything it's actually good at and keeps this site as the seat-picking front end.</w:t>
      </w:r>
    </w:p>
    <w:tbl>
      <w:tblPr>
        <w:tblW w:type="dxa" w:w="9650"/>
        <w:tblBorders>
          <w:top w:val="single" w:color="auto" w:sz="4"/>
          <w:left w:val="single" w:color="auto" w:sz="4"/>
          <w:bottom w:val="single" w:color="auto" w:sz="4"/>
          <w:right w:val="single" w:color="auto" w:sz="4"/>
          <w:insideH w:val="single" w:color="auto" w:sz="4"/>
          <w:insideV w:val="single" w:color="auto" w:sz="4"/>
        </w:tblBorders>
      </w:tblPr>
      <w:tblGrid>
        <w:gridCol w:w="3300"/>
        <w:gridCol w:w="1250"/>
        <w:gridCol w:w="5100"/>
      </w:tblGrid>
      <w:tr>
        <w:tc>
          <w:tcPr>
            <w:tcW w:type="dxa" w:w="3300"/>
            <w:tcBorders>
              <w:top w:val="single" w:color="C9C4B5" w:sz="4"/>
              <w:left w:val="single" w:color="C9C4B5" w:sz="4"/>
              <w:bottom w:val="single" w:color="C9C4B5" w:sz="4"/>
              <w:right w:val="single" w:color="C9C4B5" w:sz="4"/>
            </w:tcBorders>
            <w:shd w:fill="F2EDE1" w:val="clear"/>
            <w:tcMar>
              <w:top w:type="dxa" w:w="70"/>
              <w:left w:type="dxa" w:w="110"/>
              <w:bottom w:type="dxa" w:w="70"/>
              <w:right w:type="dxa" w:w="110"/>
            </w:tcMar>
          </w:tcPr>
          <w:p>
            <w:pPr>
              <w:spacing w:after="0"/>
            </w:pPr>
            <w:r>
              <w:rPr>
                <w:b/>
                <w:bCs/>
                <w:color w:val="20243A"/>
                <w:sz w:val="19"/>
                <w:szCs w:val="19"/>
              </w:rPr>
              <w:t xml:space="preserve">Capability</w:t>
            </w:r>
          </w:p>
        </w:tc>
        <w:tc>
          <w:tcPr>
            <w:tcW w:type="dxa" w:w="1250"/>
            <w:tcBorders>
              <w:top w:val="single" w:color="C9C4B5" w:sz="4"/>
              <w:left w:val="single" w:color="C9C4B5" w:sz="4"/>
              <w:bottom w:val="single" w:color="C9C4B5" w:sz="4"/>
              <w:right w:val="single" w:color="C9C4B5" w:sz="4"/>
            </w:tcBorders>
            <w:shd w:fill="F2EDE1" w:val="clear"/>
            <w:tcMar>
              <w:top w:type="dxa" w:w="70"/>
              <w:left w:type="dxa" w:w="110"/>
              <w:bottom w:type="dxa" w:w="70"/>
              <w:right w:type="dxa" w:w="110"/>
            </w:tcMar>
          </w:tcPr>
          <w:p>
            <w:pPr>
              <w:spacing w:after="0"/>
            </w:pPr>
            <w:r>
              <w:rPr>
                <w:b/>
                <w:bCs/>
                <w:color w:val="20243A"/>
                <w:sz w:val="19"/>
                <w:szCs w:val="19"/>
              </w:rPr>
              <w:t xml:space="preserve">Native?</w:t>
            </w:r>
          </w:p>
        </w:tc>
        <w:tc>
          <w:tcPr>
            <w:tcW w:type="dxa" w:w="5100"/>
            <w:tcBorders>
              <w:top w:val="single" w:color="C9C4B5" w:sz="4"/>
              <w:left w:val="single" w:color="C9C4B5" w:sz="4"/>
              <w:bottom w:val="single" w:color="C9C4B5" w:sz="4"/>
              <w:right w:val="single" w:color="C9C4B5" w:sz="4"/>
            </w:tcBorders>
            <w:shd w:fill="F2EDE1" w:val="clear"/>
            <w:tcMar>
              <w:top w:type="dxa" w:w="70"/>
              <w:left w:type="dxa" w:w="110"/>
              <w:bottom w:type="dxa" w:w="70"/>
              <w:right w:type="dxa" w:w="110"/>
            </w:tcMar>
          </w:tcPr>
          <w:p>
            <w:pPr>
              <w:spacing w:after="0"/>
            </w:pPr>
            <w:r>
              <w:rPr>
                <w:b/>
                <w:bCs/>
                <w:color w:val="20243A"/>
                <w:sz w:val="19"/>
                <w:szCs w:val="19"/>
              </w:rPr>
              <w:t xml:space="preserve">What that means here</w:t>
            </w:r>
          </w:p>
        </w:tc>
      </w:tr>
      <w:tr>
        <w:tc>
          <w:tcPr>
            <w:tcW w:type="dxa" w:w="33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$0 platform &amp; processing fees for U.S. nonprofits</w:t>
            </w:r>
          </w:p>
        </w:tc>
        <w:tc>
          <w:tcPr>
            <w:tcW w:type="dxa" w:w="12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YES</w:t>
            </w:r>
          </w:p>
        </w:tc>
        <w:tc>
          <w:tcPr>
            <w:tcW w:type="dxa" w:w="51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Every dollar lands with 1140A; buyers can tip Zeffy or not.</w:t>
            </w:r>
          </w:p>
        </w:tc>
      </w:tr>
      <w:tr>
        <w:tc>
          <w:tcPr>
            <w:tcW w:type="dxa" w:w="33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Per-ticket QR e-tickets + door scan that rejects reuse</w:t>
            </w:r>
          </w:p>
        </w:tc>
        <w:tc>
          <w:tcPr>
            <w:tcW w:type="dxa" w:w="12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YES</w:t>
            </w:r>
          </w:p>
        </w:tc>
        <w:tc>
          <w:tcPr>
            <w:tcW w:type="dxa" w:w="51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The entry-verification backbone ships day one, no custom code. Any phone camera scans; second scan shows first-scan time.</w:t>
            </w:r>
          </w:p>
        </w:tc>
      </w:tr>
      <w:tr>
        <w:tc>
          <w:tcPr>
            <w:tcW w:type="dxa" w:w="33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Real-time email per sale</w:t>
            </w:r>
          </w:p>
        </w:tc>
        <w:tc>
          <w:tcPr>
            <w:tcW w:type="dxa" w:w="12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YES</w:t>
            </w:r>
          </w:p>
        </w:tc>
        <w:tc>
          <w:tcPr>
            <w:tcW w:type="dxa" w:w="51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Per form: Invite collaborators → notify on new payments → info@ — the not-constantly-checking requirement.</w:t>
            </w:r>
          </w:p>
        </w:tc>
      </w:tr>
      <w:tr>
        <w:tc>
          <w:tcPr>
            <w:tcW w:type="dxa" w:w="33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Ticket types with caps + per-row seat dropdowns</w:t>
            </w:r>
          </w:p>
        </w:tc>
        <w:tc>
          <w:tcPr>
            <w:tcW w:type="dxa" w:w="12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YES</w:t>
            </w:r>
          </w:p>
        </w:tc>
        <w:tc>
          <w:tcPr>
            <w:tcW w:type="dxa" w:w="51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A bought dropdown option retires instantly — that is the double-sell lock for reserved seats.</w:t>
            </w:r>
          </w:p>
        </w:tc>
      </w:tr>
      <w:tr>
        <w:tc>
          <w:tcPr>
            <w:tcW w:type="dxa" w:w="33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Interactive click-a-seat map</w:t>
            </w:r>
          </w:p>
        </w:tc>
        <w:tc>
          <w:tcPr>
            <w:tcW w:type="dxa" w:w="12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NO</w:t>
            </w:r>
          </w:p>
        </w:tc>
        <w:tc>
          <w:tcPr>
            <w:tcW w:type="dxa" w:w="51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Zeffy is dropdown-only — which is precisely why this site exists in front of it.</w:t>
            </w:r>
          </w:p>
        </w:tc>
      </w:tr>
      <w:tr>
        <w:tc>
          <w:tcPr>
            <w:tcW w:type="dxa" w:w="33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Styled (round-dot) QR on their e-ticket</w:t>
            </w:r>
          </w:p>
        </w:tc>
        <w:tc>
          <w:tcPr>
            <w:tcW w:type="dxa" w:w="12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NO</w:t>
            </w:r>
          </w:p>
        </w:tc>
        <w:tc>
          <w:tcPr>
            <w:tcW w:type="dxa" w:w="51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Flagged: launch distinction rides on ticket-type text at scan; the dot-vs-square visual lands with the Phase-2 ticket email.</w:t>
            </w:r>
          </w:p>
        </w:tc>
      </w:tr>
      <w:tr>
        <w:tc>
          <w:tcPr>
            <w:tcW w:type="dxa" w:w="33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API / Zapier for automatic seat-sync</w:t>
            </w:r>
          </w:p>
        </w:tc>
        <w:tc>
          <w:tcPr>
            <w:tcW w:type="dxa" w:w="12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YES (P2)</w:t>
            </w:r>
          </w:p>
        </w:tc>
        <w:tc>
          <w:tcPr>
            <w:tcW w:type="dxa" w:w="51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Free API + Zapier exist — Phase 2 marks map seats sold automatically; Step One reconciles from Zeffy's report.</w:t>
            </w:r>
          </w:p>
        </w:tc>
      </w:tr>
    </w:tbl>
    <w:p>
      <w:pPr>
        <w:spacing w:after="60"/>
      </w:pPr>
    </w:p>
    <w:p>
      <w:pPr>
        <w:spacing w:after="130" w:line="288"/>
      </w:pPr>
      <w:r>
        <w:rPr>
          <w:b/>
          <w:bCs/>
        </w:rPr>
        <w:t xml:space="preserve">Setup (about an hour): </w:t>
      </w:r>
      <w:r>
        <w:t xml:space="preserve">three ticketing forms — Sagalow, Cannon, Carnival — at the locked prices; per-row seat dropdowns on the two reserved zones of each; quantity caps on the GA types; notifications, e-tickets, and caps switched on; then the three URLs pasted into </w:t>
      </w:r>
      <w:r>
        <w:rPr>
          <w:rFonts w:ascii="Consolas" w:cs="Consolas" w:eastAsia="Consolas" w:hAnsi="Consolas"/>
          <w:sz w:val="19"/>
          <w:szCs w:val="19"/>
        </w:rPr>
        <w:t xml:space="preserve">CONFIG.zeffy</w:t>
      </w:r>
      <w:r>
        <w:t xml:space="preserve">. The checkout drawer already tells buyers their picked seats and asks them to confirm the same row and seat on the payment page — if a seat vanished in the meantime, Zeffy simply won't offer it, and nobody ever double-pays a chair.</w:t>
      </w:r>
    </w:p>
    <w:p>
      <w:pPr>
        <w:pStyle w:val="Heading1"/>
        <w:spacing w:after="140" w:before="340"/>
      </w:pPr>
      <w:r>
        <w:rPr>
          <w:b/>
          <w:bCs/>
          <w:color w:val="20243A"/>
        </w:rPr>
        <w:t xml:space="preserve">5·1 · Flagged gaps, none silent</w:t>
      </w:r>
    </w:p>
    <w:p>
      <w:pPr>
        <w:spacing w:after="130" w:line="288"/>
      </w:pPr>
      <w:r>
        <w:t xml:space="preserve">• </w:t>
      </w:r>
      <w:r>
        <w:rPr>
          <w:b/>
          <w:bCs/>
        </w:rPr>
        <w:t xml:space="preserve">Map-to-Zeffy sync is manual in Step One.</w:t>
      </w:r>
      <w:r>
        <w:t xml:space="preserve"> The map is the chooser; Zeffy is the lock and the paid truth. Until Phase 2 wires the API, you mark sold seats in the console from Zeffy's report (a two-minute daily habit at 20/day) and export state between sessions. Two buyers racing the same seat cannot both pay — the loser re-picks; worst case is mild, not financial.</w:t>
      </w:r>
    </w:p>
    <w:p>
      <w:pPr>
        <w:spacing w:after="130" w:line="288"/>
      </w:pPr>
      <w:r>
        <w:t xml:space="preserve">• </w:t>
      </w:r>
      <w:r>
        <w:rPr>
          <w:b/>
          <w:bCs/>
        </w:rPr>
        <w:t xml:space="preserve">Cart hold is courtesy, not law.</w:t>
      </w:r>
      <w:r>
        <w:t xml:space="preserve"> The three-minute hold governs this page (and restarts on each addition); it can't yet freeze Zeffy's dropdowns. The economics still work — a squatter would have to PAY to actually take a seat, which is the least profitable hostage-taking ever devised.</w:t>
      </w:r>
    </w:p>
    <w:p>
      <w:pPr>
        <w:spacing w:after="130" w:line="288"/>
      </w:pPr>
      <w:r>
        <w:t xml:space="preserve">• </w:t>
      </w:r>
      <w:r>
        <w:rPr>
          <w:b/>
          <w:bCs/>
        </w:rPr>
        <w:t xml:space="preserve">Auto-reply on the contact routes</w:t>
      </w:r>
      <w:r>
        <w:t xml:space="preserve"> is simulated by instant on-page answers (the wheelchair panel answers everything before mail is sent, and the mail templates capture what you need to check inventory before confirming). A true mailbox auto-responder is a five-minute rule in your mail host when info@ goes live.</w:t>
      </w:r>
    </w:p>
    <w:p>
      <w:pPr>
        <w:spacing w:after="130" w:line="288"/>
      </w:pPr>
      <w:r>
        <w:t xml:space="preserve">• </w:t>
      </w:r>
      <w:r>
        <w:rPr>
          <w:b/>
          <w:bCs/>
        </w:rPr>
        <w:t xml:space="preserve">Mailing-list capture</w:t>
      </w:r>
      <w:r>
        <w:t xml:space="preserve"> stores nothing yet — wire the form to your list tool (or harvest Zeffy's contact export, which Tier 2 gets automatically from purchases). Promise kept small on the page, as §11 insisted.</w:t>
      </w:r>
    </w:p>
    <w:p>
      <w:pPr>
        <w:spacing w:after="130" w:line="288"/>
      </w:pPr>
      <w:r>
        <w:t xml:space="preserve">• </w:t>
      </w:r>
      <w:r>
        <w:rPr>
          <w:b/>
          <w:bCs/>
        </w:rPr>
        <w:t xml:space="preserve">CAPTCHA</w:t>
      </w:r>
      <w:r>
        <w:t xml:space="preserve"> isn't needed at Step-One traffic; if you adopt Cloudflare below, Turnstile is its one-toggle answer for high-demand moments.</w:t>
      </w:r>
    </w:p>
    <w:p>
      <w:pPr>
        <w:pStyle w:val="Heading1"/>
        <w:spacing w:after="140" w:before="340"/>
      </w:pPr>
      <w:r>
        <w:rPr>
          <w:b/>
          <w:bCs/>
          <w:color w:val="20243A"/>
        </w:rPr>
        <w:t xml:space="preserve">6 · “Do I need Cloudflare?”</w:t>
      </w:r>
    </w:p>
    <w:p>
      <w:pPr>
        <w:spacing w:after="130" w:line="288"/>
      </w:pPr>
      <w:r>
        <w:rPr>
          <w:b/>
          <w:bCs/>
        </w:rPr>
        <w:t xml:space="preserve">Yes — the free plan, and it's worth the half hour.</w:t>
      </w:r>
      <w:r>
        <w:t xml:space="preserve"> For a time-boxed, promoted on-sale, Cloudflare in front of 1140A.com buys DDoS absorption, a web-application firewall, Bot Fight Mode, edge caching that makes the site feel instant on Cape cell connections, and Turnstile if you ever want a checkout challenge. Setup: add the domain at cloudflare.com → it imports DNS → switch nameservers at your registrar → SSL “Full (strict)” → enable Bot Fight Mode. Payment security is unaffected either way — cards are handled on Zeffy's PCI-compliant pages, never yours. If you'd rather ship without it this week, Netlify's CDN already gives you the basics; Cloudflare is the armour, not the engine.</w:t>
      </w:r>
    </w:p>
    <w:p>
      <w:pPr>
        <w:pStyle w:val="Heading1"/>
        <w:spacing w:after="140" w:before="340"/>
      </w:pPr>
      <w:r>
        <w:rPr>
          <w:b/>
          <w:bCs/>
          <w:color w:val="20243A"/>
        </w:rPr>
        <w:t xml:space="preserve">7 · SEO — the fast wins only</w:t>
      </w:r>
    </w:p>
    <w:p>
      <w:pPr>
        <w:spacing w:after="130" w:line="288"/>
      </w:pPr>
      <w:r>
        <w:t xml:space="preserve">Built in: the </w:t>
      </w:r>
      <w:r>
        <w:rPr>
          <w:b/>
          <w:bCs/>
        </w:rPr>
        <w:t xml:space="preserve">Event JSON-LD</w:t>
      </w:r>
      <w:r>
        <w:t xml:space="preserve"> (ComedyEvent, all three offer ranges, venue address) that makes Google's event rich results possible; an answer-first title and meta description (“Two headline stand-up shows, one night…”); static HTML that crawlers read without executing anything; and mobile speed (one page, no frameworks). Your half-hour list after go-live: a </w:t>
      </w:r>
      <w:r>
        <w:rPr>
          <w:b/>
          <w:bCs/>
        </w:rPr>
        <w:t xml:space="preserve">Google Business Profile</w:t>
      </w:r>
      <w:r>
        <w:t xml:space="preserve"> with the event posted; listings on the free Cape calendars — CapeCod.com events, Cape Cod Chamber, Love Live Local, the college's own calendar, Cape Cod Times / Provincetown Independent listings; keep </w:t>
      </w:r>
      <w:r>
        <w:rPr>
          <w:b/>
          <w:bCs/>
        </w:rPr>
        <w:t xml:space="preserve">https://1140a.com</w:t>
      </w:r>
      <w:r>
        <w:t xml:space="preserve"> canonical with 301s from www and any *.netlify.app; and above all </w:t>
      </w:r>
      <w:r>
        <w:rPr>
          <w:b/>
          <w:bCs/>
        </w:rPr>
        <w:t xml:space="preserve">remove every password at go-live</w:t>
      </w:r>
      <w:r>
        <w:t xml:space="preserve"> — a gated page is invisible to Google, which is also why the gate exists as a single switch. Skipped on purpose, per the brief: keyword research, blogging, link-building — month-scale plays for a five-week sale.</w:t>
      </w:r>
    </w:p>
    <w:p>
      <w:pPr>
        <w:pStyle w:val="Heading1"/>
        <w:spacing w:after="140" w:before="340"/>
      </w:pPr>
      <w:r>
        <w:rPr>
          <w:b/>
          <w:bCs/>
          <w:color w:val="20243A"/>
        </w:rPr>
        <w:t xml:space="preserve">8 · Go-live checklist (§16), mapped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450"/>
        <w:gridCol w:w="4750"/>
      </w:tblGrid>
      <w:tr>
        <w:tc>
          <w:tcPr>
            <w:tcW w:type="dxa" w:w="5450"/>
            <w:tcBorders>
              <w:top w:val="single" w:color="C9C4B5" w:sz="4"/>
              <w:left w:val="single" w:color="C9C4B5" w:sz="4"/>
              <w:bottom w:val="single" w:color="C9C4B5" w:sz="4"/>
              <w:right w:val="single" w:color="C9C4B5" w:sz="4"/>
            </w:tcBorders>
            <w:shd w:fill="F2EDE1" w:val="clear"/>
            <w:tcMar>
              <w:top w:type="dxa" w:w="70"/>
              <w:left w:type="dxa" w:w="110"/>
              <w:bottom w:type="dxa" w:w="70"/>
              <w:right w:type="dxa" w:w="110"/>
            </w:tcMar>
          </w:tcPr>
          <w:p>
            <w:pPr>
              <w:spacing w:after="0"/>
            </w:pPr>
            <w:r>
              <w:rPr>
                <w:b/>
                <w:bCs/>
                <w:color w:val="20243A"/>
                <w:sz w:val="19"/>
                <w:szCs w:val="19"/>
              </w:rPr>
              <w:t xml:space="preserve">Brief item</w:t>
            </w:r>
          </w:p>
        </w:tc>
        <w:tc>
          <w:tcPr>
            <w:tcW w:type="dxa" w:w="4750"/>
            <w:tcBorders>
              <w:top w:val="single" w:color="C9C4B5" w:sz="4"/>
              <w:left w:val="single" w:color="C9C4B5" w:sz="4"/>
              <w:bottom w:val="single" w:color="C9C4B5" w:sz="4"/>
              <w:right w:val="single" w:color="C9C4B5" w:sz="4"/>
            </w:tcBorders>
            <w:shd w:fill="F2EDE1" w:val="clear"/>
            <w:tcMar>
              <w:top w:type="dxa" w:w="70"/>
              <w:left w:type="dxa" w:w="110"/>
              <w:bottom w:type="dxa" w:w="70"/>
              <w:right w:type="dxa" w:w="110"/>
            </w:tcMar>
          </w:tcPr>
          <w:p>
            <w:pPr>
              <w:spacing w:after="0"/>
            </w:pPr>
            <w:r>
              <w:rPr>
                <w:b/>
                <w:bCs/>
                <w:color w:val="20243A"/>
                <w:sz w:val="19"/>
                <w:szCs w:val="19"/>
              </w:rPr>
              <w:t xml:space="preserve">Where it stands</w:t>
            </w:r>
          </w:p>
        </w:tc>
      </w:tr>
      <w:tr>
        <w:tc>
          <w:tcPr>
            <w:tcW w:type="dxa" w:w="54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Full purchase flow on a real phone, all passes, each zone</w:t>
            </w:r>
          </w:p>
        </w:tc>
        <w:tc>
          <w:tcPr>
            <w:tcW w:type="dxa" w:w="47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Rehearse now in demo mode; repeat once Zeffy URLs are pasted (test-mode forms let you run $0 test orders).</w:t>
            </w:r>
          </w:p>
        </w:tc>
      </w:tr>
      <w:tr>
        <w:tc>
          <w:tcPr>
            <w:tcW w:type="dxa" w:w="54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Unique QR per ticket; scan validates and rejects reuse</w:t>
            </w:r>
          </w:p>
        </w:tc>
        <w:tc>
          <w:tcPr>
            <w:tcW w:type="dxa" w:w="47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Zeffy native at launch; door.html rehearses the flow and stays as the Phase-2 scanner.</w:t>
            </w:r>
          </w:p>
        </w:tc>
      </w:tr>
      <w:tr>
        <w:tc>
          <w:tcPr>
            <w:tcW w:type="dxa" w:w="54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Dot (pass) and square (single) QRs scan first-try</w:t>
            </w:r>
          </w:p>
        </w:tc>
        <w:tc>
          <w:tcPr>
            <w:tcW w:type="dxa" w:w="47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Demo tickets render both styles at high error-correction; on-email styling is the flagged Phase-2 item.</w:t>
            </w:r>
          </w:p>
        </w:tc>
      </w:tr>
      <w:tr>
        <w:tc>
          <w:tcPr>
            <w:tcW w:type="dxa" w:w="54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Held-back logic: GA holds absent; reserved giveaways blocked</w:t>
            </w:r>
          </w:p>
        </w:tc>
        <w:tc>
          <w:tcPr>
            <w:tcW w:type="dxa" w:w="47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Encoded exactly so — see the inventory table; console proves it live.</w:t>
            </w:r>
          </w:p>
        </w:tc>
      </w:tr>
      <w:tr>
        <w:tc>
          <w:tcPr>
            <w:tcW w:type="dxa" w:w="54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Wheelchair terms scroll-to-AGREE; void/non-refund language</w:t>
            </w:r>
          </w:p>
        </w:tc>
        <w:tc>
          <w:tcPr>
            <w:tcW w:type="dxa" w:w="47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Built and tested — the button genuinely sleeps until the end of the terms.</w:t>
            </w:r>
          </w:p>
        </w:tc>
      </w:tr>
      <w:tr>
        <w:tc>
          <w:tcPr>
            <w:tcW w:type="dxa" w:w="54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info@ real-time email on a test purchase; dashboard reflects it</w:t>
            </w:r>
          </w:p>
        </w:tc>
        <w:tc>
          <w:tcPr>
            <w:tcW w:type="dxa" w:w="47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Toggle per Zeffy form + demo purchase pings the dashboard today.</w:t>
            </w:r>
          </w:p>
        </w:tc>
      </w:tr>
      <w:tr>
        <w:tc>
          <w:tcPr>
            <w:tcW w:type="dxa" w:w="54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Accommodations line (§12) and mature-content notice on flow</w:t>
            </w:r>
          </w:p>
        </w:tc>
        <w:tc>
          <w:tcPr>
            <w:tcW w:type="dxa" w:w="47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Both live on the page (licence line verbatim in the access section and footer area).</w:t>
            </w:r>
          </w:p>
        </w:tc>
      </w:tr>
      <w:tr>
        <w:tc>
          <w:tcPr>
            <w:tcW w:type="dxa" w:w="54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Event JSON-LD present; production has NO password gate</w:t>
            </w:r>
          </w:p>
        </w:tc>
        <w:tc>
          <w:tcPr>
            <w:tcW w:type="dxa" w:w="47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Schema is in the head now; the gate is the one switch, with a reminder printed beside it.</w:t>
            </w:r>
          </w:p>
        </w:tc>
      </w:tr>
      <w:tr>
        <w:tc>
          <w:tcPr>
            <w:tcW w:type="dxa" w:w="54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No stray ‘4’ in authored counts, timers, sequences</w:t>
            </w:r>
          </w:p>
        </w:tc>
        <w:tc>
          <w:tcPr>
            <w:tcW w:type="dxa" w:w="47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Automated audit run on the built page: authored text is clean; the 4s that remain are your locked prices, the venue's printed seat numbers, and the college's street address — plus natural buyer quantity counting, kept so a party of four can buy four tickets (flip available).</w:t>
            </w:r>
          </w:p>
        </w:tc>
      </w:tr>
    </w:tbl>
    <w:p>
      <w:pPr>
        <w:spacing w:after="60"/>
      </w:pPr>
    </w:p>
    <w:p>
      <w:pPr>
        <w:pStyle w:val="Heading1"/>
        <w:spacing w:after="140" w:before="340"/>
      </w:pPr>
      <w:r>
        <w:rPr>
          <w:b/>
          <w:bCs/>
          <w:color w:val="20243A"/>
        </w:rPr>
        <w:t xml:space="preserve">9 · Phase 2 side-pocket (designed-for, not built)</w:t>
      </w:r>
    </w:p>
    <w:p>
      <w:pPr>
        <w:spacing w:after="130" w:line="288"/>
      </w:pPr>
      <w:r>
        <w:t xml:space="preserve">Comedian bio dropdowns with headshots and special links · the merch store behind COMING SOON with the ~15% pre-sale · scan-for-member-discount at the stand (funded from the DPM split, cashier-applied) · source-of-sale analytics via per-channel UTM links · hold-and-abandon pattern flags · automatic seat-sync (Zeffy API/Zapier into a small Cloudflare Worker, swapping behind the same store functions every screen already calls) · the styled dot-QR ticket email. None requires touching what shipped today — that was the architectural bet, and it's held.</w:t>
      </w:r>
    </w:p>
    <w:p>
      <w:pPr>
        <w:pBdr>
          <w:top w:val="single" w:color="C9C4B5" w:sz="6" w:space="6"/>
        </w:pBdr>
        <w:spacing w:before="240"/>
      </w:pPr>
      <w:r>
        <w:rPr>
          <w:i/>
          <w:iCs/>
          <w:color w:val="6B7080"/>
          <w:sz w:val="18"/>
          <w:szCs w:val="18"/>
        </w:rPr>
        <w:t xml:space="preserve">Files: index.html · admin.html · door.html · README.md (setup and deploy, step by step). Passwords in §1. Section numbering in this report follows house custom — there is no section between 3 and 5.</w:t>
      </w:r>
    </w:p>
    <w:sectPr>
      <w:pgSz w:w="12240" w:h="15840" w:orient="portrait"/>
      <w:pgMar w:top="1200" w:right="1300" w:bottom="115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color w:val="B47F2B"/>
        <w:sz w:val="14"/>
        <w:szCs w:val="14"/>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color w:val="1A1A1A"/>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Helvetica" w:cs="Helvetica" w:eastAsia="Helvetica" w:hAnsi="Helvetica"/>
      <w:sz w:val="30"/>
      <w:szCs w:val="30"/>
    </w:rPr>
  </w:style>
  <w:style w:type="paragraph" w:styleId="Heading2">
    <w:name w:val="Heading 2"/>
    <w:basedOn w:val="Normal"/>
    <w:next w:val="Normal"/>
    <w:qFormat/>
    <w:rPr>
      <w:rFonts w:ascii="Helvetica" w:cs="Helvetica" w:eastAsia="Helvetica" w:hAnsi="Helvetica"/>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2026-07-28T19:55:17.315Z</dcterms:created>
  <dcterms:modified xsi:type="dcterms:W3CDTF">2026-07-28T19:55:17.315Z</dcterms:modified>
</cp:coreProperties>
</file>

<file path=docProps/custom.xml><?xml version="1.0" encoding="utf-8"?>
<Properties xmlns="http://schemas.openxmlformats.org/officeDocument/2006/custom-properties" xmlns:vt="http://schemas.openxmlformats.org/officeDocument/2006/docPropsVTypes"/>
</file>