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171"/>
        <w:gridCol w:w="7171"/>
      </w:tblGrid>
      <w:tr>
        <w:tc>
          <w:tcPr>
            <w:tcW w:type="dxa" w:w="259"/>
            <w:shd w:fill="2F6B72"/>
            <w:tcMar>
              <w:top w:w="110" w:type="dxa"/>
              <w:start w:w="130" w:type="dxa"/>
              <w:bottom w:w="110" w:type="dxa"/>
              <w:end w:w="130" w:type="dxa"/>
            </w:tcMar>
          </w:tcPr>
          <w:p>
            <w:pPr>
              <w:widowControl/>
            </w:pPr>
          </w:p>
        </w:tc>
        <w:tc>
          <w:tcPr>
            <w:tcW w:type="dxa" w:w="14040"/>
            <w:shd w:fill="F4F7F9"/>
            <w:tcMar>
              <w:top w:w="110" w:type="dxa"/>
              <w:start w:w="130" w:type="dxa"/>
              <w:bottom w:w="110" w:type="dxa"/>
              <w:end w:w="130" w:type="dxa"/>
            </w:tcMar>
          </w:tcPr>
          <w:p>
            <w:pPr>
              <w:widowControl/>
              <w:spacing w:after="80"/>
            </w:pPr>
            <w:r>
              <w:rPr>
                <w:rFonts w:ascii="Arial" w:hAnsi="Arial"/>
                <w:b/>
                <w:i w:val="0"/>
                <w:color w:val="2F6B72"/>
                <w:sz w:val="20"/>
              </w:rPr>
              <w:t>SPONSOR RESEARCH REPORT</w:t>
            </w:r>
          </w:p>
          <w:p>
            <w:pPr>
              <w:widowControl/>
              <w:spacing w:after="60"/>
            </w:pPr>
            <w:r>
              <w:rPr>
                <w:rFonts w:ascii="Arial" w:hAnsi="Arial"/>
                <w:b/>
                <w:i w:val="0"/>
                <w:color w:val="17324D"/>
                <w:sz w:val="52"/>
              </w:rPr>
              <w:t>Exclusive US$17,500 sponsorship</w:t>
            </w:r>
          </w:p>
          <w:p>
            <w:pPr>
              <w:widowControl/>
              <w:spacing w:after="160"/>
            </w:pPr>
            <w:r>
              <w:rPr>
                <w:rFonts w:ascii="Arial" w:hAnsi="Arial"/>
                <w:b w:val="0"/>
                <w:i w:val="0"/>
                <w:color w:val="1F2933"/>
                <w:sz w:val="24"/>
              </w:rPr>
              <w:t>One-night professional stand-up comedy event · Tilden Performing Arts Center · late August 2026</w:t>
            </w:r>
          </w:p>
          <w:p>
            <w:pPr>
              <w:widowControl/>
              <w:spacing w:after="0"/>
            </w:pPr>
            <w:r>
              <w:rPr>
                <w:rFonts w:ascii="Arial" w:hAnsi="Arial"/>
                <w:b/>
                <w:i w:val="0"/>
                <w:color w:val="66727C"/>
                <w:sz w:val="18"/>
              </w:rPr>
              <w:t>Research cut-off: 14 July 2026</w:t>
            </w:r>
          </w:p>
        </w:tc>
      </w:tr>
    </w:tbl>
    <w:p>
      <w:pPr>
        <w:spacing w:before="280" w:after="80"/>
      </w:pPr>
      <w:r>
        <w:rPr>
          <w:rFonts w:ascii="Arial" w:hAnsi="Arial"/>
          <w:b/>
          <w:i w:val="0"/>
          <w:color w:val="17324D"/>
          <w:sz w:val="34"/>
        </w:rPr>
        <w:t>Executive conclusion</w:t>
      </w:r>
    </w:p>
    <w:tbl>
      <w:tblPr>
        <w:tblW w:type="auto" w:w="0"/>
        <w:jc w:val="center"/>
        <w:tblLook w:firstColumn="1" w:firstRow="1" w:lastColumn="0" w:lastRow="0" w:noHBand="0" w:noVBand="1" w:val="04A0"/>
        <w:tblBorders>
          <w:top w:val="single" w:sz="6" w:space="0" w:color="9FB6C5"/>
          <w:left w:val="single" w:sz="6" w:space="0" w:color="9FB6C5"/>
          <w:bottom w:val="single" w:sz="6" w:space="0" w:color="9FB6C5"/>
          <w:right w:val="single" w:sz="6" w:space="0" w:color="9FB6C5"/>
          <w:insideH w:val="single" w:sz="6" w:space="0" w:color="9FB6C5"/>
          <w:insideV w:val="single" w:sz="6" w:space="0" w:color="9FB6C5"/>
        </w:tblBorders>
      </w:tblPr>
      <w:tblGrid>
        <w:gridCol w:w="14342"/>
      </w:tblGrid>
      <w:tr>
        <w:tc>
          <w:tcPr>
            <w:tcW w:type="dxa" w:w="14342"/>
            <w:shd w:fill="DDEAF2"/>
            <w:tcMar>
              <w:top w:w="130" w:type="dxa"/>
              <w:start w:w="160" w:type="dxa"/>
              <w:bottom w:w="130" w:type="dxa"/>
              <w:end w:w="160" w:type="dxa"/>
            </w:tcMar>
          </w:tcPr>
          <w:p>
            <w:pPr>
              <w:widowControl/>
              <w:spacing w:after="100"/>
            </w:pPr>
            <w:r>
              <w:rPr>
                <w:rFonts w:ascii="Arial" w:hAnsi="Arial"/>
                <w:b/>
                <w:i w:val="0"/>
                <w:color w:val="17324D"/>
                <w:sz w:val="24"/>
              </w:rPr>
              <w:t>The 2026 opportunity is an executive-approved commercial sponsorship, not a conventional grant.</w:t>
            </w:r>
          </w:p>
          <w:p>
            <w:pPr>
              <w:widowControl/>
              <w:spacing w:after="0"/>
            </w:pPr>
            <w:r>
              <w:rPr>
                <w:rFonts w:ascii="Arial" w:hAnsi="Arial"/>
                <w:b w:val="0"/>
                <w:i w:val="0"/>
                <w:color w:val="1F2933"/>
                <w:sz w:val="19"/>
              </w:rPr>
              <w:t>Most published programmes cannot move quickly enough by mid-July. The best prospects are organisations already supporting Cape arts or Cape Cod Community College and able to treat the package as marketing, community relations or client entertainment. Approach the top five in parallel through warm introductions and ask for a decision call within days.</w:t>
            </w:r>
          </w:p>
        </w:tc>
      </w:tr>
    </w:tbl>
    <w:p>
      <w:pPr>
        <w:spacing w:before="180" w:after="60"/>
      </w:pPr>
      <w:r>
        <w:rPr>
          <w:rFonts w:ascii="Arial" w:hAnsi="Arial"/>
          <w:b/>
          <w:i w:val="0"/>
          <w:color w:val="2F6B72"/>
          <w:sz w:val="23"/>
        </w:rPr>
        <w:t>Recommended first wave</w:t>
      </w:r>
    </w:p>
    <w:p>
      <w:pPr>
        <w:pStyle w:val="ListBullet"/>
        <w:spacing w:after="40" w:line="252" w:lineRule="auto"/>
      </w:pPr>
      <w:r>
        <w:rPr>
          <w:rFonts w:ascii="Arial" w:hAnsi="Arial"/>
          <w:b w:val="0"/>
          <w:i w:val="0"/>
          <w:color w:val="1F2933"/>
          <w:sz w:val="18"/>
        </w:rPr>
        <w:t>1. Cape &amp; Coast Bank — strongest combination of current Cape arts/CCCC evidence, a named community-relations officer and no published lead-time barrier.</w:t>
      </w:r>
    </w:p>
    <w:p>
      <w:pPr>
        <w:pStyle w:val="ListBullet"/>
        <w:spacing w:after="40" w:line="252" w:lineRule="auto"/>
      </w:pPr>
      <w:r>
        <w:rPr>
          <w:rFonts w:ascii="Arial" w:hAnsi="Arial"/>
          <w:b w:val="0"/>
          <w:i w:val="0"/>
          <w:color w:val="1F2933"/>
          <w:sz w:val="18"/>
        </w:rPr>
        <w:t>2. Cape Cod 5 — deepest evidence and strongest CCCC warmth, but its normal two-month lead time has passed; seek an executive exception.</w:t>
      </w:r>
    </w:p>
    <w:p>
      <w:pPr>
        <w:pStyle w:val="ListBullet"/>
        <w:spacing w:after="40" w:line="252" w:lineRule="auto"/>
      </w:pPr>
      <w:r>
        <w:rPr>
          <w:rFonts w:ascii="Arial" w:hAnsi="Arial"/>
          <w:b w:val="0"/>
          <w:i w:val="0"/>
          <w:color w:val="1F2933"/>
          <w:sz w:val="18"/>
        </w:rPr>
        <w:t>3. Cape Air — exceptional warm route through the CCCC Foundation Chair and a highly usable hospitality package.</w:t>
      </w:r>
    </w:p>
    <w:p>
      <w:pPr>
        <w:pStyle w:val="ListBullet"/>
        <w:spacing w:after="40" w:line="252" w:lineRule="auto"/>
      </w:pPr>
      <w:r>
        <w:rPr>
          <w:rFonts w:ascii="Arial" w:hAnsi="Arial"/>
          <w:b w:val="0"/>
          <w:i w:val="0"/>
          <w:color w:val="1F2933"/>
          <w:sz w:val="18"/>
        </w:rPr>
        <w:t>4. Tighe &amp; Bond — current CCCC sponsor, named Chief Marketing Officer and no published application cycle.</w:t>
      </w:r>
    </w:p>
    <w:p>
      <w:pPr>
        <w:pStyle w:val="ListBullet"/>
        <w:spacing w:after="40" w:line="252" w:lineRule="auto"/>
      </w:pPr>
      <w:r>
        <w:rPr>
          <w:rFonts w:ascii="Arial" w:hAnsi="Arial"/>
          <w:b w:val="0"/>
          <w:i w:val="0"/>
          <w:color w:val="1F2933"/>
          <w:sz w:val="18"/>
        </w:rPr>
        <w:t>5. Rockland Trust — excellent programme fit and scale, but the published six-to-eight-week sponsorship decision time makes a senior exception essential.</w:t>
      </w:r>
    </w:p>
    <w:p>
      <w:pPr>
        <w:pStyle w:val="SmallNote"/>
        <w:spacing w:before="100" w:after="0"/>
      </w:pPr>
      <w:r>
        <w:rPr>
          <w:rFonts w:ascii="Arial" w:hAnsi="Arial"/>
          <w:b w:val="0"/>
          <w:i/>
          <w:color w:val="66727C"/>
          <w:sz w:val="15"/>
        </w:rPr>
        <w:t>Important: client-supplied event facts were not independently verified. Sponsor/supporter logo panels demonstrate public support behaviour but generally do not disclose amount or distinguish cash from in-kind support. This report is not legal or tax advice.</w:t>
      </w:r>
    </w:p>
    <w:p>
      <w:r>
        <w:br w:type="page"/>
      </w:r>
    </w:p>
    <w:p>
      <w:pPr>
        <w:pStyle w:val="Heading1"/>
        <w:keepNext/>
      </w:pPr>
      <w:r>
        <w:t>1. Scope, event proposition and method</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7171"/>
        <w:gridCol w:w="7171"/>
      </w:tblGrid>
      <w:tr>
        <w:tc>
          <w:tcPr>
            <w:tcW w:type="dxa" w:w="7056"/>
            <w:tcMar>
              <w:top w:w="100" w:type="dxa"/>
              <w:start w:w="110" w:type="dxa"/>
              <w:bottom w:w="100" w:type="dxa"/>
              <w:end w:w="110" w:type="dxa"/>
            </w:tcMar>
            <w:shd w:fill="F4F7F9"/>
          </w:tcPr>
          <w:p>
            <w:pPr>
              <w:widowControl/>
            </w:pPr>
            <w:r>
              <w:rPr>
                <w:rFonts w:ascii="Arial" w:hAnsi="Arial"/>
                <w:b/>
                <w:i w:val="0"/>
                <w:color w:val="17324D"/>
                <w:sz w:val="20"/>
              </w:rPr>
              <w:t>Client-supplied event facts</w:t>
            </w:r>
          </w:p>
          <w:p>
            <w:pPr>
              <w:pStyle w:val="ListBullet"/>
              <w:widowControl/>
              <w:spacing w:after="30" w:line="252" w:lineRule="auto"/>
            </w:pPr>
            <w:r>
              <w:rPr>
                <w:rFonts w:ascii="Arial" w:hAnsi="Arial"/>
                <w:b w:val="0"/>
                <w:i w:val="0"/>
                <w:color w:val="1F2933"/>
                <w:sz w:val="17"/>
              </w:rPr>
              <w:t>One night at the Tilden Performing Arts Center, Cape Cod Community College, West Barnstable.</w:t>
            </w:r>
          </w:p>
          <w:p>
            <w:pPr>
              <w:pStyle w:val="ListBullet"/>
              <w:widowControl/>
              <w:spacing w:after="30" w:line="252" w:lineRule="auto"/>
            </w:pPr>
            <w:r>
              <w:rPr>
                <w:rFonts w:ascii="Arial" w:hAnsi="Arial"/>
                <w:b w:val="0"/>
                <w:i w:val="0"/>
                <w:color w:val="1F2933"/>
                <w:sz w:val="17"/>
              </w:rPr>
              <w:t>Two touring headline comedians; approximately 550 sellable seats; late August 2026.</w:t>
            </w:r>
          </w:p>
          <w:p>
            <w:pPr>
              <w:pStyle w:val="ListBullet"/>
              <w:widowControl/>
              <w:spacing w:after="30" w:line="252" w:lineRule="auto"/>
            </w:pPr>
            <w:r>
              <w:rPr>
                <w:rFonts w:ascii="Arial" w:hAnsi="Arial"/>
                <w:b w:val="0"/>
                <w:i w:val="0"/>
                <w:color w:val="1F2933"/>
                <w:sz w:val="17"/>
              </w:rPr>
              <w:t>Tickets approximately US$18–US$90, with some seats provided free to schools, community groups and charities.</w:t>
            </w:r>
          </w:p>
          <w:p>
            <w:pPr>
              <w:pStyle w:val="ListBullet"/>
              <w:widowControl/>
              <w:spacing w:after="30" w:line="252" w:lineRule="auto"/>
            </w:pPr>
            <w:r>
              <w:rPr>
                <w:rFonts w:ascii="Arial" w:hAnsi="Arial"/>
                <w:b w:val="0"/>
                <w:i w:val="0"/>
                <w:color w:val="1F2933"/>
                <w:sz w:val="17"/>
              </w:rPr>
              <w:t>One exclusive sponsor only; US$17,500; no tiers or second sponsor.</w:t>
            </w:r>
          </w:p>
        </w:tc>
        <w:tc>
          <w:tcPr>
            <w:tcW w:type="dxa" w:w="7128"/>
            <w:tcMar>
              <w:top w:w="100" w:type="dxa"/>
              <w:start w:w="110" w:type="dxa"/>
              <w:bottom w:w="100" w:type="dxa"/>
              <w:end w:w="110" w:type="dxa"/>
            </w:tcMar>
            <w:shd w:fill="F4F7F9"/>
          </w:tcPr>
          <w:p>
            <w:pPr>
              <w:widowControl/>
            </w:pPr>
            <w:r>
              <w:rPr>
                <w:rFonts w:ascii="Arial" w:hAnsi="Arial"/>
                <w:b/>
                <w:i w:val="0"/>
                <w:color w:val="17324D"/>
                <w:sz w:val="20"/>
              </w:rPr>
              <w:t>Commercial package</w:t>
            </w:r>
          </w:p>
          <w:p>
            <w:pPr>
              <w:pStyle w:val="ListBullet"/>
              <w:widowControl/>
              <w:spacing w:after="30" w:line="252" w:lineRule="auto"/>
            </w:pPr>
            <w:r>
              <w:rPr>
                <w:rFonts w:ascii="Arial" w:hAnsi="Arial"/>
                <w:b w:val="0"/>
                <w:i w:val="0"/>
                <w:color w:val="1F2933"/>
                <w:sz w:val="17"/>
              </w:rPr>
              <w:t>Sole naming presence on website, posters, tickets and a theatre-lobby sign.</w:t>
            </w:r>
          </w:p>
          <w:p>
            <w:pPr>
              <w:pStyle w:val="ListBullet"/>
              <w:widowControl/>
              <w:spacing w:after="30" w:line="252" w:lineRule="auto"/>
            </w:pPr>
            <w:r>
              <w:rPr>
                <w:rFonts w:ascii="Arial" w:hAnsi="Arial"/>
                <w:b w:val="0"/>
                <w:i w:val="0"/>
                <w:color w:val="1F2933"/>
                <w:sz w:val="17"/>
              </w:rPr>
              <w:t>Fourteen front-row centre seats and close parking.</w:t>
            </w:r>
          </w:p>
          <w:p>
            <w:pPr>
              <w:pStyle w:val="ListBullet"/>
              <w:widowControl/>
              <w:spacing w:after="30" w:line="252" w:lineRule="auto"/>
            </w:pPr>
            <w:r>
              <w:rPr>
                <w:rFonts w:ascii="Arial" w:hAnsi="Arial"/>
                <w:b w:val="0"/>
                <w:i w:val="0"/>
                <w:color w:val="1F2933"/>
                <w:sz w:val="17"/>
              </w:rPr>
              <w:t>Private traditional Cape Cod pit clam bake on the organiser’s conservation property, attended by the two headline comedians.</w:t>
            </w:r>
          </w:p>
          <w:p>
            <w:pPr>
              <w:pStyle w:val="ListBullet"/>
              <w:widowControl/>
              <w:spacing w:after="30" w:line="252" w:lineRule="auto"/>
            </w:pPr>
            <w:r>
              <w:rPr>
                <w:rFonts w:ascii="Arial" w:hAnsi="Arial"/>
                <w:b w:val="0"/>
                <w:i w:val="0"/>
                <w:color w:val="1F2933"/>
                <w:sz w:val="17"/>
              </w:rPr>
              <w:t>Inference: the hospitality component is most valuable to businesses with clients, referral partners, senior staff or high-value customers to entertain.</w:t>
            </w:r>
          </w:p>
        </w:tc>
      </w:tr>
    </w:tbl>
    <w:p>
      <w:pPr>
        <w:pStyle w:val="Heading2"/>
        <w:keepNext/>
      </w:pPr>
      <w:r>
        <w:t>Research method</w:t>
      </w:r>
    </w:p>
    <w:p>
      <w:pPr>
        <w:pStyle w:val="ListBullet"/>
        <w:spacing w:after="40" w:line="252" w:lineRule="auto"/>
      </w:pPr>
      <w:r>
        <w:rPr>
          <w:rFonts w:ascii="Arial" w:hAnsi="Arial"/>
          <w:b w:val="0"/>
          <w:i w:val="0"/>
          <w:color w:val="1F2933"/>
          <w:sz w:val="17"/>
        </w:rPr>
        <w:t>Evidence window: public sources reviewed through 14 July 2026, with emphasis on sponsorships and donations dated 2023–2026. Older information is used only when clearly labelled as a capacity or history indicator.</w:t>
      </w:r>
    </w:p>
    <w:p>
      <w:pPr>
        <w:pStyle w:val="ListBullet"/>
        <w:spacing w:after="40" w:line="252" w:lineRule="auto"/>
      </w:pPr>
      <w:r>
        <w:rPr>
          <w:rFonts w:ascii="Arial" w:hAnsi="Arial"/>
          <w:b w:val="0"/>
          <w:i w:val="0"/>
          <w:color w:val="1F2933"/>
          <w:sz w:val="17"/>
        </w:rPr>
        <w:t>Public sponsor panels were treated as evidence of giving behaviour, but not as evidence of a specific cash amount. Where an amount was not public, the table says so.</w:t>
      </w:r>
    </w:p>
    <w:p>
      <w:pPr>
        <w:pStyle w:val="ListBullet"/>
        <w:spacing w:after="40" w:line="252" w:lineRule="auto"/>
      </w:pPr>
      <w:r>
        <w:rPr>
          <w:rFonts w:ascii="Arial" w:hAnsi="Arial"/>
          <w:b w:val="0"/>
          <w:i w:val="0"/>
          <w:color w:val="1F2933"/>
          <w:sz w:val="17"/>
        </w:rPr>
        <w:t>Decision-holders are named only where a public source supports the name and title. Where the responsible individual was not findable, the report says so and gives the most plausible role-based route.</w:t>
      </w:r>
    </w:p>
    <w:p>
      <w:pPr>
        <w:pStyle w:val="ListBullet"/>
        <w:spacing w:after="40" w:line="252" w:lineRule="auto"/>
      </w:pPr>
      <w:r>
        <w:rPr>
          <w:rFonts w:ascii="Arial" w:hAnsi="Arial"/>
          <w:b w:val="0"/>
          <w:i w:val="0"/>
          <w:color w:val="1F2933"/>
          <w:sz w:val="17"/>
        </w:rPr>
        <w:t>All fit, budget-route, score and timing judgements marked “Inference” are analyst assessments rather than sourced facts.</w:t>
      </w:r>
    </w:p>
    <w:p>
      <w:pPr>
        <w:pStyle w:val="ListBullet"/>
        <w:spacing w:after="40" w:line="252" w:lineRule="auto"/>
      </w:pPr>
      <w:r>
        <w:rPr>
          <w:rFonts w:ascii="Arial" w:hAnsi="Arial"/>
          <w:b w:val="0"/>
          <w:i w:val="0"/>
          <w:color w:val="1F2933"/>
          <w:sz w:val="17"/>
        </w:rPr>
        <w:t>The separate wealthy-individual/family-office run was not included: the institutional field was sufficiently strong, and avoiding speculative personal wealth protects accuracy and discretion.</w:t>
      </w:r>
    </w:p>
    <w:p>
      <w:pPr>
        <w:pStyle w:val="Heading2"/>
        <w:keepNext/>
      </w:pPr>
      <w:r>
        <w:t>Scoring model — analyst inference</w:t>
      </w:r>
    </w:p>
    <w:tbl>
      <w:tblPr>
        <w:tblW w:type="auto" w:w="0"/>
        <w:jc w:val="center"/>
        <w:tblLayout w:type="fixed"/>
        <w:tblLook w:firstColumn="1" w:firstRow="1" w:lastColumn="0" w:lastRow="0" w:noHBand="0" w:noVBand="1" w:val="04A0"/>
        <w:tblBorders>
          <w:top w:val="single" w:sz="5" w:space="0" w:color="AEB9C2"/>
          <w:left w:val="single" w:sz="5" w:space="0" w:color="AEB9C2"/>
          <w:bottom w:val="single" w:sz="5" w:space="0" w:color="AEB9C2"/>
          <w:right w:val="single" w:sz="5" w:space="0" w:color="AEB9C2"/>
          <w:insideH w:val="single" w:sz="5" w:space="0" w:color="AEB9C2"/>
          <w:insideV w:val="single" w:sz="5" w:space="0" w:color="AEB9C2"/>
        </w:tblBorders>
      </w:tblPr>
      <w:tblGrid>
        <w:gridCol w:w="2868"/>
        <w:gridCol w:w="2868"/>
        <w:gridCol w:w="2868"/>
        <w:gridCol w:w="2868"/>
        <w:gridCol w:w="2868"/>
      </w:tblGrid>
      <w:tr>
        <w:trPr>
          <w:tblHeader w:val="true"/>
        </w:trPr>
        <w:tc>
          <w:tcPr>
            <w:tcW w:type="dxa" w:w="2808"/>
            <w:shd w:fill="17324D"/>
            <w:tcMar>
              <w:top w:w="70" w:type="dxa"/>
              <w:start w:w="70" w:type="dxa"/>
              <w:bottom w:w="70" w:type="dxa"/>
              <w:end w:w="70" w:type="dxa"/>
            </w:tcMar>
            <w:vAlign w:val="center"/>
          </w:tcPr>
          <w:p>
            <w:pPr>
              <w:widowControl/>
              <w:jc w:val="center"/>
            </w:pPr>
            <w:r>
              <w:rPr>
                <w:rFonts w:ascii="Arial" w:hAnsi="Arial"/>
                <w:b/>
                <w:i w:val="0"/>
                <w:color w:val="FFFFFF"/>
                <w:sz w:val="15"/>
              </w:rPr>
              <w:t>Warm CCCC/Tilden link</w:t>
            </w:r>
          </w:p>
        </w:tc>
        <w:tc>
          <w:tcPr>
            <w:tcW w:type="dxa" w:w="2808"/>
            <w:shd w:fill="17324D"/>
            <w:tcMar>
              <w:top w:w="70" w:type="dxa"/>
              <w:start w:w="70" w:type="dxa"/>
              <w:bottom w:w="70" w:type="dxa"/>
              <w:end w:w="70" w:type="dxa"/>
            </w:tcMar>
            <w:vAlign w:val="center"/>
          </w:tcPr>
          <w:p>
            <w:pPr>
              <w:widowControl/>
              <w:jc w:val="center"/>
            </w:pPr>
            <w:r>
              <w:rPr>
                <w:rFonts w:ascii="Arial" w:hAnsi="Arial"/>
                <w:b/>
                <w:i w:val="0"/>
                <w:color w:val="FFFFFF"/>
                <w:sz w:val="15"/>
              </w:rPr>
              <w:t>Recent Cape giving evidence</w:t>
            </w:r>
          </w:p>
        </w:tc>
        <w:tc>
          <w:tcPr>
            <w:tcW w:type="dxa" w:w="2808"/>
            <w:shd w:fill="17324D"/>
            <w:tcMar>
              <w:top w:w="70" w:type="dxa"/>
              <w:start w:w="70" w:type="dxa"/>
              <w:bottom w:w="70" w:type="dxa"/>
              <w:end w:w="70" w:type="dxa"/>
            </w:tcMar>
            <w:vAlign w:val="center"/>
          </w:tcPr>
          <w:p>
            <w:pPr>
              <w:widowControl/>
              <w:jc w:val="center"/>
            </w:pPr>
            <w:r>
              <w:rPr>
                <w:rFonts w:ascii="Arial" w:hAnsi="Arial"/>
                <w:b/>
                <w:i w:val="0"/>
                <w:color w:val="FFFFFF"/>
                <w:sz w:val="15"/>
              </w:rPr>
              <w:t>Capacity for US$17,500</w:t>
            </w:r>
          </w:p>
        </w:tc>
        <w:tc>
          <w:tcPr>
            <w:tcW w:type="dxa" w:w="2808"/>
            <w:shd w:fill="17324D"/>
            <w:tcMar>
              <w:top w:w="70" w:type="dxa"/>
              <w:start w:w="70" w:type="dxa"/>
              <w:bottom w:w="70" w:type="dxa"/>
              <w:end w:w="70" w:type="dxa"/>
            </w:tcMar>
            <w:vAlign w:val="center"/>
          </w:tcPr>
          <w:p>
            <w:pPr>
              <w:widowControl/>
              <w:jc w:val="center"/>
            </w:pPr>
            <w:r>
              <w:rPr>
                <w:rFonts w:ascii="Arial" w:hAnsi="Arial"/>
                <w:b/>
                <w:i w:val="0"/>
                <w:color w:val="FFFFFF"/>
                <w:sz w:val="15"/>
              </w:rPr>
              <w:t>Commercial / hospitality fit</w:t>
            </w:r>
          </w:p>
        </w:tc>
        <w:tc>
          <w:tcPr>
            <w:tcW w:type="dxa" w:w="2808"/>
            <w:shd w:fill="17324D"/>
            <w:tcMar>
              <w:top w:w="70" w:type="dxa"/>
              <w:start w:w="70" w:type="dxa"/>
              <w:bottom w:w="70" w:type="dxa"/>
              <w:end w:w="70" w:type="dxa"/>
            </w:tcMar>
            <w:vAlign w:val="center"/>
          </w:tcPr>
          <w:p>
            <w:pPr>
              <w:widowControl/>
              <w:jc w:val="center"/>
            </w:pPr>
            <w:r>
              <w:rPr>
                <w:rFonts w:ascii="Arial" w:hAnsi="Arial"/>
                <w:b/>
                <w:i w:val="0"/>
                <w:color w:val="FFFFFF"/>
                <w:sz w:val="15"/>
              </w:rPr>
              <w:t>Speed for 2026</w:t>
            </w:r>
          </w:p>
        </w:tc>
      </w:tr>
      <w:tr>
        <w:tc>
          <w:tcPr>
            <w:tcW w:type="dxa" w:w="2868"/>
            <w:tcMar>
              <w:top w:w="70" w:type="dxa"/>
              <w:start w:w="70" w:type="dxa"/>
              <w:bottom w:w="70" w:type="dxa"/>
              <w:end w:w="70" w:type="dxa"/>
            </w:tcMar>
          </w:tcPr>
          <w:p>
            <w:pPr>
              <w:widowControl/>
              <w:jc w:val="center"/>
            </w:pPr>
            <w:r>
              <w:rPr>
                <w:rFonts w:ascii="Arial" w:hAnsi="Arial"/>
                <w:b/>
                <w:i w:val="0"/>
                <w:color w:val="2F6B72"/>
                <w:sz w:val="16"/>
              </w:rPr>
              <w:t>0–5 points</w:t>
            </w:r>
          </w:p>
        </w:tc>
        <w:tc>
          <w:tcPr>
            <w:tcW w:type="dxa" w:w="2868"/>
            <w:tcMar>
              <w:top w:w="70" w:type="dxa"/>
              <w:start w:w="70" w:type="dxa"/>
              <w:bottom w:w="70" w:type="dxa"/>
              <w:end w:w="70" w:type="dxa"/>
            </w:tcMar>
          </w:tcPr>
          <w:p>
            <w:pPr>
              <w:widowControl/>
              <w:jc w:val="center"/>
            </w:pPr>
            <w:r>
              <w:rPr>
                <w:rFonts w:ascii="Arial" w:hAnsi="Arial"/>
                <w:b/>
                <w:i w:val="0"/>
                <w:color w:val="2F6B72"/>
                <w:sz w:val="16"/>
              </w:rPr>
              <w:t>0–5 points</w:t>
            </w:r>
          </w:p>
        </w:tc>
        <w:tc>
          <w:tcPr>
            <w:tcW w:type="dxa" w:w="2868"/>
            <w:tcMar>
              <w:top w:w="70" w:type="dxa"/>
              <w:start w:w="70" w:type="dxa"/>
              <w:bottom w:w="70" w:type="dxa"/>
              <w:end w:w="70" w:type="dxa"/>
            </w:tcMar>
          </w:tcPr>
          <w:p>
            <w:pPr>
              <w:widowControl/>
              <w:jc w:val="center"/>
            </w:pPr>
            <w:r>
              <w:rPr>
                <w:rFonts w:ascii="Arial" w:hAnsi="Arial"/>
                <w:b/>
                <w:i w:val="0"/>
                <w:color w:val="2F6B72"/>
                <w:sz w:val="16"/>
              </w:rPr>
              <w:t>0–5 points</w:t>
            </w:r>
          </w:p>
        </w:tc>
        <w:tc>
          <w:tcPr>
            <w:tcW w:type="dxa" w:w="2868"/>
            <w:tcMar>
              <w:top w:w="70" w:type="dxa"/>
              <w:start w:w="70" w:type="dxa"/>
              <w:bottom w:w="70" w:type="dxa"/>
              <w:end w:w="70" w:type="dxa"/>
            </w:tcMar>
          </w:tcPr>
          <w:p>
            <w:pPr>
              <w:widowControl/>
              <w:jc w:val="center"/>
            </w:pPr>
            <w:r>
              <w:rPr>
                <w:rFonts w:ascii="Arial" w:hAnsi="Arial"/>
                <w:b/>
                <w:i w:val="0"/>
                <w:color w:val="2F6B72"/>
                <w:sz w:val="16"/>
              </w:rPr>
              <w:t>0–5 points</w:t>
            </w:r>
          </w:p>
        </w:tc>
        <w:tc>
          <w:tcPr>
            <w:tcW w:type="dxa" w:w="2868"/>
            <w:tcMar>
              <w:top w:w="70" w:type="dxa"/>
              <w:start w:w="70" w:type="dxa"/>
              <w:bottom w:w="70" w:type="dxa"/>
              <w:end w:w="70" w:type="dxa"/>
            </w:tcMar>
          </w:tcPr>
          <w:p>
            <w:pPr>
              <w:widowControl/>
              <w:jc w:val="center"/>
            </w:pPr>
            <w:r>
              <w:rPr>
                <w:rFonts w:ascii="Arial" w:hAnsi="Arial"/>
                <w:b/>
                <w:i w:val="0"/>
                <w:color w:val="2F6B72"/>
                <w:sz w:val="16"/>
              </w:rPr>
              <w:t>0–5 points</w:t>
            </w:r>
          </w:p>
        </w:tc>
      </w:tr>
    </w:tbl>
    <w:p>
      <w:pPr>
        <w:pStyle w:val="Heading2"/>
        <w:keepNext/>
      </w:pPr>
      <w:r>
        <w:t>Category priority</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585"/>
        <w:gridCol w:w="3585"/>
        <w:gridCol w:w="3585"/>
        <w:gridCol w:w="3585"/>
      </w:tblGrid>
      <w:tr>
        <w:trPr>
          <w:tblHeader w:val="true"/>
        </w:trPr>
        <w:tc>
          <w:tcPr>
            <w:tcW w:type="dxa" w:w="648"/>
            <w:shd w:fill="17324D"/>
            <w:tcMar>
              <w:top w:w="60" w:type="dxa"/>
              <w:start w:w="70" w:type="dxa"/>
              <w:bottom w:w="60" w:type="dxa"/>
              <w:end w:w="70" w:type="dxa"/>
            </w:tcMar>
          </w:tcPr>
          <w:p>
            <w:pPr>
              <w:widowControl/>
            </w:pPr>
            <w:r>
              <w:rPr>
                <w:rFonts w:ascii="Arial" w:hAnsi="Arial"/>
                <w:b/>
                <w:i w:val="0"/>
                <w:color w:val="FFFFFF"/>
                <w:sz w:val="16"/>
              </w:rPr>
              <w:t>#</w:t>
            </w:r>
          </w:p>
        </w:tc>
        <w:tc>
          <w:tcPr>
            <w:tcW w:type="dxa" w:w="3528"/>
            <w:shd w:fill="17324D"/>
            <w:tcMar>
              <w:top w:w="60" w:type="dxa"/>
              <w:start w:w="70" w:type="dxa"/>
              <w:bottom w:w="60" w:type="dxa"/>
              <w:end w:w="70" w:type="dxa"/>
            </w:tcMar>
          </w:tcPr>
          <w:p>
            <w:pPr>
              <w:widowControl/>
            </w:pPr>
            <w:r>
              <w:rPr>
                <w:rFonts w:ascii="Arial" w:hAnsi="Arial"/>
                <w:b/>
                <w:i w:val="0"/>
                <w:color w:val="FFFFFF"/>
                <w:sz w:val="16"/>
              </w:rPr>
              <w:t>Category</w:t>
            </w:r>
          </w:p>
        </w:tc>
        <w:tc>
          <w:tcPr>
            <w:tcW w:type="dxa" w:w="1944"/>
            <w:shd w:fill="17324D"/>
            <w:tcMar>
              <w:top w:w="60" w:type="dxa"/>
              <w:start w:w="70" w:type="dxa"/>
              <w:bottom w:w="60" w:type="dxa"/>
              <w:end w:w="70" w:type="dxa"/>
            </w:tcMar>
          </w:tcPr>
          <w:p>
            <w:pPr>
              <w:widowControl/>
            </w:pPr>
            <w:r>
              <w:rPr>
                <w:rFonts w:ascii="Arial" w:hAnsi="Arial"/>
                <w:b/>
                <w:i w:val="0"/>
                <w:color w:val="FFFFFF"/>
                <w:sz w:val="16"/>
              </w:rPr>
              <w:t>Assessment</w:t>
            </w:r>
          </w:p>
        </w:tc>
        <w:tc>
          <w:tcPr>
            <w:tcW w:type="dxa" w:w="7992"/>
            <w:shd w:fill="17324D"/>
            <w:tcMar>
              <w:top w:w="60" w:type="dxa"/>
              <w:start w:w="70" w:type="dxa"/>
              <w:bottom w:w="60" w:type="dxa"/>
              <w:end w:w="70" w:type="dxa"/>
            </w:tcMar>
          </w:tcPr>
          <w:p>
            <w:pPr>
              <w:widowControl/>
            </w:pPr>
            <w:r>
              <w:rPr>
                <w:rFonts w:ascii="Arial" w:hAnsi="Arial"/>
                <w:b/>
                <w:i w:val="0"/>
                <w:color w:val="FFFFFF"/>
                <w:sz w:val="16"/>
              </w:rPr>
              <w:t>Why</w:t>
            </w:r>
          </w:p>
        </w:tc>
      </w:tr>
      <w:tr>
        <w:trPr>
          <w:cantSplit/>
        </w:trPr>
        <w:tc>
          <w:tcPr>
            <w:tcW w:type="dxa" w:w="3585"/>
            <w:tcMar>
              <w:top w:w="60" w:type="dxa"/>
              <w:start w:w="70" w:type="dxa"/>
              <w:bottom w:w="60" w:type="dxa"/>
              <w:end w:w="70" w:type="dxa"/>
            </w:tcMar>
            <w:vAlign w:val="top"/>
          </w:tcPr>
          <w:p>
            <w:pPr>
              <w:widowControl/>
            </w:pPr>
            <w:r>
              <w:rPr>
                <w:rFonts w:ascii="Arial" w:hAnsi="Arial"/>
                <w:b/>
                <w:i w:val="0"/>
                <w:color w:val="1F2933"/>
                <w:sz w:val="15"/>
              </w:rPr>
              <w:t>1</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Banks and credit unions</w:t>
            </w:r>
          </w:p>
        </w:tc>
        <w:tc>
          <w:tcPr>
            <w:tcW w:type="dxa" w:w="3585"/>
            <w:tcMar>
              <w:top w:w="60" w:type="dxa"/>
              <w:start w:w="70" w:type="dxa"/>
              <w:bottom w:w="60" w:type="dxa"/>
              <w:end w:w="70" w:type="dxa"/>
            </w:tcMar>
            <w:vAlign w:val="top"/>
          </w:tcPr>
          <w:p>
            <w:pPr>
              <w:widowControl/>
            </w:pPr>
            <w:r>
              <w:rPr>
                <w:rFonts w:ascii="Arial" w:hAnsi="Arial"/>
                <w:b/>
                <w:i w:val="0"/>
                <w:color w:val="2F6B72"/>
                <w:sz w:val="15"/>
              </w:rPr>
              <w:t>Strongest</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Explicit sponsorship programmes, adequate scale, repeated Cape giving and client-entertainment value. Timing is the main obstacle.</w:t>
            </w:r>
          </w:p>
        </w:tc>
      </w:tr>
      <w:tr>
        <w:trPr>
          <w:cantSplit/>
        </w:trPr>
        <w:tc>
          <w:tcPr>
            <w:tcW w:type="dxa" w:w="3585"/>
            <w:tcMar>
              <w:top w:w="60" w:type="dxa"/>
              <w:start w:w="70" w:type="dxa"/>
              <w:bottom w:w="60" w:type="dxa"/>
              <w:end w:w="70" w:type="dxa"/>
            </w:tcMar>
            <w:vAlign w:val="top"/>
          </w:tcPr>
          <w:p>
            <w:pPr>
              <w:widowControl/>
            </w:pPr>
            <w:r>
              <w:rPr>
                <w:rFonts w:ascii="Arial" w:hAnsi="Arial"/>
                <w:b/>
                <w:i w:val="0"/>
                <w:color w:val="1F2933"/>
                <w:sz w:val="15"/>
              </w:rPr>
              <w:t>2</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Cape family businesses, real estate, construction and professional services</w:t>
            </w:r>
          </w:p>
        </w:tc>
        <w:tc>
          <w:tcPr>
            <w:tcW w:type="dxa" w:w="3585"/>
            <w:tcMar>
              <w:top w:w="60" w:type="dxa"/>
              <w:start w:w="70" w:type="dxa"/>
              <w:bottom w:w="60" w:type="dxa"/>
              <w:end w:w="70" w:type="dxa"/>
            </w:tcMar>
            <w:vAlign w:val="top"/>
          </w:tcPr>
          <w:p>
            <w:pPr>
              <w:widowControl/>
            </w:pPr>
            <w:r>
              <w:rPr>
                <w:rFonts w:ascii="Arial" w:hAnsi="Arial"/>
                <w:b/>
                <w:i w:val="0"/>
                <w:color w:val="2F6B72"/>
                <w:sz w:val="15"/>
              </w:rPr>
              <w:t>Strong</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Owner-led decisions can be faster; premium seats and private hospitality have practical client value.</w:t>
            </w:r>
          </w:p>
        </w:tc>
      </w:tr>
      <w:tr>
        <w:trPr>
          <w:cantSplit/>
        </w:trPr>
        <w:tc>
          <w:tcPr>
            <w:tcW w:type="dxa" w:w="3585"/>
            <w:tcMar>
              <w:top w:w="60" w:type="dxa"/>
              <w:start w:w="70" w:type="dxa"/>
              <w:bottom w:w="60" w:type="dxa"/>
              <w:end w:w="70" w:type="dxa"/>
            </w:tcMar>
            <w:vAlign w:val="top"/>
          </w:tcPr>
          <w:p>
            <w:pPr>
              <w:widowControl/>
            </w:pPr>
            <w:r>
              <w:rPr>
                <w:rFonts w:ascii="Arial" w:hAnsi="Arial"/>
                <w:b/>
                <w:i w:val="0"/>
                <w:color w:val="1F2933"/>
                <w:sz w:val="15"/>
              </w:rPr>
              <w:t>3</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Hospitality, resorts and marine businesses</w:t>
            </w:r>
          </w:p>
        </w:tc>
        <w:tc>
          <w:tcPr>
            <w:tcW w:type="dxa" w:w="3585"/>
            <w:tcMar>
              <w:top w:w="60" w:type="dxa"/>
              <w:start w:w="70" w:type="dxa"/>
              <w:bottom w:w="60" w:type="dxa"/>
              <w:end w:w="70" w:type="dxa"/>
            </w:tcMar>
            <w:vAlign w:val="top"/>
          </w:tcPr>
          <w:p>
            <w:pPr>
              <w:widowControl/>
            </w:pPr>
            <w:r>
              <w:rPr>
                <w:rFonts w:ascii="Arial" w:hAnsi="Arial"/>
                <w:b/>
                <w:i w:val="0"/>
                <w:color w:val="2F6B72"/>
                <w:sz w:val="15"/>
              </w:rPr>
              <w:t>Strong fit; mixed capacity</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Excellent audience and hospitality alignment, but many operators may not support the full amount.</w:t>
            </w:r>
          </w:p>
        </w:tc>
      </w:tr>
      <w:tr>
        <w:trPr>
          <w:cantSplit/>
        </w:trPr>
        <w:tc>
          <w:tcPr>
            <w:tcW w:type="dxa" w:w="3585"/>
            <w:tcMar>
              <w:top w:w="60" w:type="dxa"/>
              <w:start w:w="70" w:type="dxa"/>
              <w:bottom w:w="60" w:type="dxa"/>
              <w:end w:w="70" w:type="dxa"/>
            </w:tcMar>
            <w:vAlign w:val="top"/>
          </w:tcPr>
          <w:p>
            <w:pPr>
              <w:widowControl/>
            </w:pPr>
            <w:r>
              <w:rPr>
                <w:rFonts w:ascii="Arial" w:hAnsi="Arial"/>
                <w:b/>
                <w:i w:val="0"/>
                <w:color w:val="1F2933"/>
                <w:sz w:val="15"/>
              </w:rPr>
              <w:t>4</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Healthcare</w:t>
            </w:r>
          </w:p>
        </w:tc>
        <w:tc>
          <w:tcPr>
            <w:tcW w:type="dxa" w:w="3585"/>
            <w:tcMar>
              <w:top w:w="60" w:type="dxa"/>
              <w:start w:w="70" w:type="dxa"/>
              <w:bottom w:w="60" w:type="dxa"/>
              <w:end w:w="70" w:type="dxa"/>
            </w:tcMar>
            <w:vAlign w:val="top"/>
          </w:tcPr>
          <w:p>
            <w:pPr>
              <w:widowControl/>
            </w:pPr>
            <w:r>
              <w:rPr>
                <w:rFonts w:ascii="Arial" w:hAnsi="Arial"/>
                <w:b/>
                <w:i w:val="0"/>
                <w:color w:val="2F6B72"/>
                <w:sz w:val="15"/>
              </w:rPr>
              <w:t>Capacity; route mismatch</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Large reach and current arts support, but formal community-benefit grants are health-focused. Use marketing only.</w:t>
            </w:r>
          </w:p>
        </w:tc>
      </w:tr>
      <w:tr>
        <w:trPr>
          <w:cantSplit/>
        </w:trPr>
        <w:tc>
          <w:tcPr>
            <w:tcW w:type="dxa" w:w="3585"/>
            <w:tcMar>
              <w:top w:w="60" w:type="dxa"/>
              <w:start w:w="70" w:type="dxa"/>
              <w:bottom w:w="60" w:type="dxa"/>
              <w:end w:w="70" w:type="dxa"/>
            </w:tcMar>
            <w:vAlign w:val="top"/>
          </w:tcPr>
          <w:p>
            <w:pPr>
              <w:widowControl/>
            </w:pPr>
            <w:r>
              <w:rPr>
                <w:rFonts w:ascii="Arial" w:hAnsi="Arial"/>
                <w:b/>
                <w:i w:val="0"/>
                <w:color w:val="1F2933"/>
                <w:sz w:val="15"/>
              </w:rPr>
              <w:t>5</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Insurance, wealth, law and accountancy</w:t>
            </w:r>
          </w:p>
        </w:tc>
        <w:tc>
          <w:tcPr>
            <w:tcW w:type="dxa" w:w="3585"/>
            <w:tcMar>
              <w:top w:w="60" w:type="dxa"/>
              <w:start w:w="70" w:type="dxa"/>
              <w:bottom w:w="60" w:type="dxa"/>
              <w:end w:w="70" w:type="dxa"/>
            </w:tcMar>
            <w:vAlign w:val="top"/>
          </w:tcPr>
          <w:p>
            <w:pPr>
              <w:widowControl/>
            </w:pPr>
            <w:r>
              <w:rPr>
                <w:rFonts w:ascii="Arial" w:hAnsi="Arial"/>
                <w:b/>
                <w:i w:val="0"/>
                <w:color w:val="2F6B72"/>
                <w:sz w:val="15"/>
              </w:rPr>
              <w:t>Selective</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Good client-entertainment logic; warm local firms may be introducers, while larger firms can have slower approvals.</w:t>
            </w:r>
          </w:p>
        </w:tc>
      </w:tr>
      <w:tr>
        <w:trPr>
          <w:cantSplit/>
        </w:trPr>
        <w:tc>
          <w:tcPr>
            <w:tcW w:type="dxa" w:w="3585"/>
            <w:tcMar>
              <w:top w:w="60" w:type="dxa"/>
              <w:start w:w="70" w:type="dxa"/>
              <w:bottom w:w="60" w:type="dxa"/>
              <w:end w:w="70" w:type="dxa"/>
            </w:tcMar>
            <w:vAlign w:val="top"/>
          </w:tcPr>
          <w:p>
            <w:pPr>
              <w:widowControl/>
            </w:pPr>
            <w:r>
              <w:rPr>
                <w:rFonts w:ascii="Arial" w:hAnsi="Arial"/>
                <w:b/>
                <w:i w:val="0"/>
                <w:color w:val="1F2933"/>
                <w:sz w:val="15"/>
              </w:rPr>
              <w:t>6</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Utilities and energy</w:t>
            </w:r>
          </w:p>
        </w:tc>
        <w:tc>
          <w:tcPr>
            <w:tcW w:type="dxa" w:w="3585"/>
            <w:tcMar>
              <w:top w:w="60" w:type="dxa"/>
              <w:start w:w="70" w:type="dxa"/>
              <w:bottom w:w="60" w:type="dxa"/>
              <w:end w:w="70" w:type="dxa"/>
            </w:tcMar>
            <w:vAlign w:val="top"/>
          </w:tcPr>
          <w:p>
            <w:pPr>
              <w:widowControl/>
            </w:pPr>
            <w:r>
              <w:rPr>
                <w:rFonts w:ascii="Arial" w:hAnsi="Arial"/>
                <w:b/>
                <w:i w:val="0"/>
                <w:color w:val="2F6B72"/>
                <w:sz w:val="15"/>
              </w:rPr>
              <w:t>Weak for 2026</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Capacity exists, but the arts fit and decision speed are weaker; no recent Cape arts evidence was located here.</w:t>
            </w:r>
          </w:p>
        </w:tc>
      </w:tr>
      <w:tr>
        <w:trPr>
          <w:cantSplit/>
        </w:trPr>
        <w:tc>
          <w:tcPr>
            <w:tcW w:type="dxa" w:w="3585"/>
            <w:tcMar>
              <w:top w:w="60" w:type="dxa"/>
              <w:start w:w="70" w:type="dxa"/>
              <w:bottom w:w="60" w:type="dxa"/>
              <w:end w:w="70" w:type="dxa"/>
            </w:tcMar>
            <w:vAlign w:val="top"/>
          </w:tcPr>
          <w:p>
            <w:pPr>
              <w:widowControl/>
            </w:pPr>
            <w:r>
              <w:rPr>
                <w:rFonts w:ascii="Arial" w:hAnsi="Arial"/>
                <w:b/>
                <w:i w:val="0"/>
                <w:color w:val="1F2933"/>
                <w:sz w:val="15"/>
              </w:rPr>
              <w:t>7</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Private/community foundations</w:t>
            </w:r>
          </w:p>
        </w:tc>
        <w:tc>
          <w:tcPr>
            <w:tcW w:type="dxa" w:w="3585"/>
            <w:tcMar>
              <w:top w:w="60" w:type="dxa"/>
              <w:start w:w="70" w:type="dxa"/>
              <w:bottom w:w="60" w:type="dxa"/>
              <w:end w:w="70" w:type="dxa"/>
            </w:tcMar>
            <w:vAlign w:val="top"/>
          </w:tcPr>
          <w:p>
            <w:pPr>
              <w:widowControl/>
            </w:pPr>
            <w:r>
              <w:rPr>
                <w:rFonts w:ascii="Arial" w:hAnsi="Arial"/>
                <w:b/>
                <w:i w:val="0"/>
                <w:color w:val="2F6B72"/>
                <w:sz w:val="15"/>
              </w:rPr>
              <w:t>2027, not 2026</w:t>
            </w:r>
          </w:p>
        </w:tc>
        <w:tc>
          <w:tcPr>
            <w:tcW w:type="dxa" w:w="3585"/>
            <w:tcMar>
              <w:top w:w="60" w:type="dxa"/>
              <w:start w:w="70" w:type="dxa"/>
              <w:bottom w:w="60" w:type="dxa"/>
              <w:end w:w="70" w:type="dxa"/>
            </w:tcMar>
            <w:vAlign w:val="top"/>
          </w:tcPr>
          <w:p>
            <w:pPr>
              <w:widowControl/>
            </w:pPr>
            <w:r>
              <w:rPr>
                <w:rFonts w:ascii="Arial" w:hAnsi="Arial"/>
                <w:b w:val="0"/>
                <w:i w:val="0"/>
                <w:color w:val="1F2933"/>
                <w:sz w:val="15"/>
              </w:rPr>
              <w:t>Grant cycles and tax-status requirements make them poor sources for an immediate commercial sponsorship.</w:t>
            </w:r>
          </w:p>
        </w:tc>
      </w:tr>
    </w:tbl>
    <w:p>
      <w:pPr>
        <w:pStyle w:val="Heading1"/>
        <w:keepNext/>
      </w:pPr>
      <w:r>
        <w:t>2. The five strongest prospects</w:t>
      </w:r>
    </w:p>
    <w:p>
      <w:pPr>
        <w:spacing w:after="100"/>
      </w:pPr>
      <w:r>
        <w:rPr>
          <w:rFonts w:ascii="Arial" w:hAnsi="Arial"/>
          <w:b w:val="0"/>
          <w:i w:val="0"/>
          <w:color w:val="1F2933"/>
          <w:sz w:val="18"/>
        </w:rPr>
        <w:t>These are the organisations most likely to combine capacity, documented behaviour, venue warmth and a credible route to a rapid decision. Scores are analyst inference, not facts.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868"/>
        <w:gridCol w:w="2868"/>
        <w:gridCol w:w="2868"/>
        <w:gridCol w:w="2868"/>
        <w:gridCol w:w="2868"/>
      </w:tblGrid>
      <w:tr>
        <w:trPr>
          <w:tblHeader w:val="true"/>
        </w:trPr>
        <w:tc>
          <w:tcPr>
            <w:tcW w:type="dxa" w:w="864"/>
            <w:shd w:fill="17324D"/>
            <w:tcMar>
              <w:top w:w="70" w:type="dxa"/>
              <w:start w:w="75" w:type="dxa"/>
              <w:bottom w:w="70" w:type="dxa"/>
              <w:end w:w="75" w:type="dxa"/>
            </w:tcMar>
          </w:tcPr>
          <w:p>
            <w:pPr>
              <w:widowControl/>
            </w:pPr>
            <w:r>
              <w:rPr>
                <w:rFonts w:ascii="Arial" w:hAnsi="Arial"/>
                <w:b/>
                <w:i w:val="0"/>
                <w:color w:val="FFFFFF"/>
                <w:sz w:val="16"/>
              </w:rPr>
              <w:t>Rank</w:t>
            </w:r>
          </w:p>
        </w:tc>
        <w:tc>
          <w:tcPr>
            <w:tcW w:type="dxa" w:w="2520"/>
            <w:shd w:fill="17324D"/>
            <w:tcMar>
              <w:top w:w="70" w:type="dxa"/>
              <w:start w:w="75" w:type="dxa"/>
              <w:bottom w:w="70" w:type="dxa"/>
              <w:end w:w="75" w:type="dxa"/>
            </w:tcMar>
          </w:tcPr>
          <w:p>
            <w:pPr>
              <w:widowControl/>
            </w:pPr>
            <w:r>
              <w:rPr>
                <w:rFonts w:ascii="Arial" w:hAnsi="Arial"/>
                <w:b/>
                <w:i w:val="0"/>
                <w:color w:val="FFFFFF"/>
                <w:sz w:val="16"/>
              </w:rPr>
              <w:t>Prospect</w:t>
            </w:r>
          </w:p>
        </w:tc>
        <w:tc>
          <w:tcPr>
            <w:tcW w:type="dxa" w:w="4031"/>
            <w:shd w:fill="17324D"/>
            <w:tcMar>
              <w:top w:w="70" w:type="dxa"/>
              <w:start w:w="75" w:type="dxa"/>
              <w:bottom w:w="70" w:type="dxa"/>
              <w:end w:w="75" w:type="dxa"/>
            </w:tcMar>
          </w:tcPr>
          <w:p>
            <w:pPr>
              <w:widowControl/>
            </w:pPr>
            <w:r>
              <w:rPr>
                <w:rFonts w:ascii="Arial" w:hAnsi="Arial"/>
                <w:b/>
                <w:i w:val="0"/>
                <w:color w:val="FFFFFF"/>
                <w:sz w:val="16"/>
              </w:rPr>
              <w:t>Why it is top-tier</w:t>
            </w:r>
          </w:p>
        </w:tc>
        <w:tc>
          <w:tcPr>
            <w:tcW w:type="dxa" w:w="3671"/>
            <w:shd w:fill="17324D"/>
            <w:tcMar>
              <w:top w:w="70" w:type="dxa"/>
              <w:start w:w="75" w:type="dxa"/>
              <w:bottom w:w="70" w:type="dxa"/>
              <w:end w:w="75" w:type="dxa"/>
            </w:tcMar>
          </w:tcPr>
          <w:p>
            <w:pPr>
              <w:widowControl/>
            </w:pPr>
            <w:r>
              <w:rPr>
                <w:rFonts w:ascii="Arial" w:hAnsi="Arial"/>
                <w:b/>
                <w:i w:val="0"/>
                <w:color w:val="FFFFFF"/>
                <w:sz w:val="16"/>
              </w:rPr>
              <w:t>Principal obstacle</w:t>
            </w:r>
          </w:p>
        </w:tc>
        <w:tc>
          <w:tcPr>
            <w:tcW w:type="dxa" w:w="3311"/>
            <w:shd w:fill="17324D"/>
            <w:tcMar>
              <w:top w:w="70" w:type="dxa"/>
              <w:start w:w="75" w:type="dxa"/>
              <w:bottom w:w="70" w:type="dxa"/>
              <w:end w:w="75" w:type="dxa"/>
            </w:tcMar>
          </w:tcPr>
          <w:p>
            <w:pPr>
              <w:widowControl/>
            </w:pPr>
            <w:r>
              <w:rPr>
                <w:rFonts w:ascii="Arial" w:hAnsi="Arial"/>
                <w:b/>
                <w:i w:val="0"/>
                <w:color w:val="FFFFFF"/>
                <w:sz w:val="16"/>
              </w:rPr>
              <w:t>Immediate move</w:t>
            </w:r>
          </w:p>
        </w:tc>
      </w:tr>
      <w:tr>
        <w:trPr>
          <w:cantSplit/>
        </w:trPr>
        <w:tc>
          <w:tcPr>
            <w:tcW w:type="dxa" w:w="2868"/>
            <w:tcMar>
              <w:top w:w="70" w:type="dxa"/>
              <w:start w:w="75" w:type="dxa"/>
              <w:bottom w:w="70" w:type="dxa"/>
              <w:end w:w="75" w:type="dxa"/>
            </w:tcMar>
            <w:vAlign w:val="top"/>
          </w:tcPr>
          <w:p>
            <w:pPr>
              <w:widowControl/>
              <w:spacing w:after="0" w:line="240" w:lineRule="auto"/>
            </w:pPr>
            <w:r>
              <w:rPr>
                <w:rFonts w:ascii="Arial" w:hAnsi="Arial"/>
                <w:b/>
                <w:i w:val="0"/>
                <w:color w:val="17324D"/>
                <w:sz w:val="15"/>
              </w:rPr>
              <w:t>1</w:t>
            </w:r>
          </w:p>
        </w:tc>
        <w:tc>
          <w:tcPr>
            <w:tcW w:type="dxa" w:w="2868"/>
            <w:tcMar>
              <w:top w:w="70" w:type="dxa"/>
              <w:start w:w="75" w:type="dxa"/>
              <w:bottom w:w="70" w:type="dxa"/>
              <w:end w:w="75" w:type="dxa"/>
            </w:tcMar>
            <w:vAlign w:val="top"/>
          </w:tcPr>
          <w:p>
            <w:pPr>
              <w:widowControl/>
              <w:spacing w:after="0" w:line="240" w:lineRule="auto"/>
            </w:pPr>
            <w:r>
              <w:rPr>
                <w:rFonts w:ascii="Arial" w:hAnsi="Arial"/>
                <w:b/>
                <w:i w:val="0"/>
                <w:color w:val="17324D"/>
                <w:sz w:val="15"/>
              </w:rPr>
              <w:t>Cape &amp; Coast Bank</w:t>
              <w:br/>
              <w:t>24/25</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A Cape-headquartered community bank with a public sponsorship route, an identified community-relations officer and sufficient scale. Inference: the cleanest budget route is corporate sponsorship/community relations, with client entertainment as the commercial rationale.</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No public lead time was found on the sponsorship page. This is the strongest genuine 2026 opportunity: request a same-week senior review rather than enter a slow grant process.</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Ask for a warm introduction and a 20-minute senior decision call within 48 hours. Lead with exclusivity, client hospitality and community access; send the one-page commercial package before the call.</w:t>
            </w:r>
          </w:p>
        </w:tc>
      </w:tr>
      <w:tr>
        <w:trPr>
          <w:cantSplit/>
        </w:trPr>
        <w:tc>
          <w:tcPr>
            <w:tcW w:type="dxa" w:w="2868"/>
            <w:tcMar>
              <w:top w:w="70" w:type="dxa"/>
              <w:start w:w="75" w:type="dxa"/>
              <w:bottom w:w="70" w:type="dxa"/>
              <w:end w:w="75" w:type="dxa"/>
            </w:tcMar>
            <w:vAlign w:val="top"/>
          </w:tcPr>
          <w:p>
            <w:pPr>
              <w:widowControl/>
              <w:spacing w:after="0" w:line="240" w:lineRule="auto"/>
            </w:pPr>
            <w:r>
              <w:rPr>
                <w:rFonts w:ascii="Arial" w:hAnsi="Arial"/>
                <w:b/>
                <w:i w:val="0"/>
                <w:color w:val="17324D"/>
                <w:sz w:val="15"/>
              </w:rPr>
              <w:t>2</w:t>
            </w:r>
          </w:p>
        </w:tc>
        <w:tc>
          <w:tcPr>
            <w:tcW w:type="dxa" w:w="2868"/>
            <w:tcMar>
              <w:top w:w="70" w:type="dxa"/>
              <w:start w:w="75" w:type="dxa"/>
              <w:bottom w:w="70" w:type="dxa"/>
              <w:end w:w="75" w:type="dxa"/>
            </w:tcMar>
            <w:vAlign w:val="top"/>
          </w:tcPr>
          <w:p>
            <w:pPr>
              <w:widowControl/>
              <w:spacing w:after="0" w:line="240" w:lineRule="auto"/>
            </w:pPr>
            <w:r>
              <w:rPr>
                <w:rFonts w:ascii="Arial" w:hAnsi="Arial"/>
                <w:b/>
                <w:i w:val="0"/>
                <w:color w:val="17324D"/>
                <w:sz w:val="15"/>
              </w:rPr>
              <w:t>Cape Cod 5</w:t>
              <w:br/>
              <w:t>23/25</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The Cape’s most evidenced community sponsor in this review, with a dedicated event-sponsorship application and substantial annual philanthropy. Inference: event sponsorship/community engagement, reinforced by premium client hospitality.</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Applications are rolling but should be submitted at least two months before funds are needed. The normal 2026 window has passed, so only a senior-approved exception or direct marketing allocation is realistic.</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Ask for a warm introduction and a 20-minute senior decision call within 48 hours. Lead with exclusivity, client hospitality and community access; send the one-page commercial package before the call.</w:t>
            </w:r>
          </w:p>
        </w:tc>
      </w:tr>
      <w:tr>
        <w:trPr>
          <w:cantSplit/>
        </w:trPr>
        <w:tc>
          <w:tcPr>
            <w:tcW w:type="dxa" w:w="2868"/>
            <w:tcMar>
              <w:top w:w="70" w:type="dxa"/>
              <w:start w:w="75" w:type="dxa"/>
              <w:bottom w:w="70" w:type="dxa"/>
              <w:end w:w="75" w:type="dxa"/>
            </w:tcMar>
            <w:vAlign w:val="top"/>
          </w:tcPr>
          <w:p>
            <w:pPr>
              <w:widowControl/>
              <w:spacing w:after="0" w:line="240" w:lineRule="auto"/>
            </w:pPr>
            <w:r>
              <w:rPr>
                <w:rFonts w:ascii="Arial" w:hAnsi="Arial"/>
                <w:b/>
                <w:i w:val="0"/>
                <w:color w:val="17324D"/>
                <w:sz w:val="15"/>
              </w:rPr>
              <w:t>3</w:t>
            </w:r>
          </w:p>
        </w:tc>
        <w:tc>
          <w:tcPr>
            <w:tcW w:type="dxa" w:w="2868"/>
            <w:tcMar>
              <w:top w:w="70" w:type="dxa"/>
              <w:start w:w="75" w:type="dxa"/>
              <w:bottom w:w="70" w:type="dxa"/>
              <w:end w:w="75" w:type="dxa"/>
            </w:tcMar>
            <w:vAlign w:val="top"/>
          </w:tcPr>
          <w:p>
            <w:pPr>
              <w:widowControl/>
              <w:spacing w:after="0" w:line="240" w:lineRule="auto"/>
            </w:pPr>
            <w:r>
              <w:rPr>
                <w:rFonts w:ascii="Arial" w:hAnsi="Arial"/>
                <w:b/>
                <w:i w:val="0"/>
                <w:color w:val="17324D"/>
                <w:sz w:val="15"/>
              </w:rPr>
              <w:t>Cape Air</w:t>
              <w:br/>
              <w:t>23/25</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Hyannis-headquartered travel brand with an audience overlap in Cape residents, visitors and business clients. The fourteen premium seats and private clam bake are unusually strong executive/client-entertainment assets. Inference: corporate affairs, marketing or community relations.</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No public application deadline was found. A direct executive approach through the Foundation Chair is viable for a July decision.</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Ask for a warm introduction and a 20-minute senior decision call within 48 hours. Lead with exclusivity, client hospitality and community access; send the one-page commercial package before the call.</w:t>
            </w:r>
          </w:p>
        </w:tc>
      </w:tr>
      <w:tr>
        <w:trPr>
          <w:cantSplit/>
        </w:trPr>
        <w:tc>
          <w:tcPr>
            <w:tcW w:type="dxa" w:w="2868"/>
            <w:tcMar>
              <w:top w:w="70" w:type="dxa"/>
              <w:start w:w="75" w:type="dxa"/>
              <w:bottom w:w="70" w:type="dxa"/>
              <w:end w:w="75" w:type="dxa"/>
            </w:tcMar>
            <w:vAlign w:val="top"/>
          </w:tcPr>
          <w:p>
            <w:pPr>
              <w:widowControl/>
              <w:spacing w:after="0" w:line="240" w:lineRule="auto"/>
            </w:pPr>
            <w:r>
              <w:rPr>
                <w:rFonts w:ascii="Arial" w:hAnsi="Arial"/>
                <w:b/>
                <w:i w:val="0"/>
                <w:color w:val="17324D"/>
                <w:sz w:val="15"/>
              </w:rPr>
              <w:t>4</w:t>
            </w:r>
          </w:p>
        </w:tc>
        <w:tc>
          <w:tcPr>
            <w:tcW w:type="dxa" w:w="2868"/>
            <w:tcMar>
              <w:top w:w="70" w:type="dxa"/>
              <w:start w:w="75" w:type="dxa"/>
              <w:bottom w:w="70" w:type="dxa"/>
              <w:end w:w="75" w:type="dxa"/>
            </w:tcMar>
            <w:vAlign w:val="top"/>
          </w:tcPr>
          <w:p>
            <w:pPr>
              <w:widowControl/>
              <w:spacing w:after="0" w:line="240" w:lineRule="auto"/>
            </w:pPr>
            <w:r>
              <w:rPr>
                <w:rFonts w:ascii="Arial" w:hAnsi="Arial"/>
                <w:b/>
                <w:i w:val="0"/>
                <w:color w:val="17324D"/>
                <w:sz w:val="15"/>
              </w:rPr>
              <w:t>Tighe &amp; Bond</w:t>
              <w:br/>
              <w:t>22/25</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A sizeable employee-owned engineering and environmental firm with Cape-facing work, cultural/recreation expertise and an explicit history of corporate donations. Inference: marketing/client development rather than a charitable grant.</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No public cycle was found. The named CMO and current venue relationship make a rapid marketing decision plausible.</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Ask for a warm introduction and a 20-minute senior decision call within 48 hours. Lead with exclusivity, client hospitality and community access; send the one-page commercial package before the call.</w:t>
            </w:r>
          </w:p>
        </w:tc>
      </w:tr>
      <w:tr>
        <w:trPr>
          <w:cantSplit/>
        </w:trPr>
        <w:tc>
          <w:tcPr>
            <w:tcW w:type="dxa" w:w="2868"/>
            <w:tcMar>
              <w:top w:w="70" w:type="dxa"/>
              <w:start w:w="75" w:type="dxa"/>
              <w:bottom w:w="70" w:type="dxa"/>
              <w:end w:w="75" w:type="dxa"/>
            </w:tcMar>
            <w:vAlign w:val="top"/>
          </w:tcPr>
          <w:p>
            <w:pPr>
              <w:widowControl/>
              <w:spacing w:after="0" w:line="240" w:lineRule="auto"/>
            </w:pPr>
            <w:r>
              <w:rPr>
                <w:rFonts w:ascii="Arial" w:hAnsi="Arial"/>
                <w:b/>
                <w:i w:val="0"/>
                <w:color w:val="17324D"/>
                <w:sz w:val="15"/>
              </w:rPr>
              <w:t>5</w:t>
            </w:r>
          </w:p>
        </w:tc>
        <w:tc>
          <w:tcPr>
            <w:tcW w:type="dxa" w:w="2868"/>
            <w:tcMar>
              <w:top w:w="70" w:type="dxa"/>
              <w:start w:w="75" w:type="dxa"/>
              <w:bottom w:w="70" w:type="dxa"/>
              <w:end w:w="75" w:type="dxa"/>
            </w:tcMar>
            <w:vAlign w:val="top"/>
          </w:tcPr>
          <w:p>
            <w:pPr>
              <w:widowControl/>
              <w:spacing w:after="0" w:line="240" w:lineRule="auto"/>
            </w:pPr>
            <w:r>
              <w:rPr>
                <w:rFonts w:ascii="Arial" w:hAnsi="Arial"/>
                <w:b/>
                <w:i w:val="0"/>
                <w:color w:val="17324D"/>
                <w:sz w:val="15"/>
              </w:rPr>
              <w:t>Rockland Trust</w:t>
              <w:br/>
              <w:t>21/25</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Its public programme explicitly includes cultural performances and community events. Scale is adequate and the proposal has strong client-entertainment value. Inference: event sponsorship, with a marketing escalation if the formal queue is too slow.</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Published decision time is six to eight weeks for event sponsorships, which is too slow for the normal process. Ask immediately for a senior exception; otherwise cultivate for 2027.</w:t>
            </w:r>
          </w:p>
        </w:tc>
        <w:tc>
          <w:tcPr>
            <w:tcW w:type="dxa" w:w="2868"/>
            <w:tcMar>
              <w:top w:w="70" w:type="dxa"/>
              <w:start w:w="75" w:type="dxa"/>
              <w:bottom w:w="70" w:type="dxa"/>
              <w:end w:w="75" w:type="dxa"/>
            </w:tcMar>
            <w:vAlign w:val="top"/>
          </w:tcPr>
          <w:p>
            <w:pPr>
              <w:widowControl/>
              <w:spacing w:after="0" w:line="240" w:lineRule="auto"/>
            </w:pPr>
            <w:r>
              <w:rPr>
                <w:rFonts w:ascii="Arial" w:hAnsi="Arial"/>
                <w:b w:val="0"/>
                <w:i w:val="0"/>
                <w:color w:val="1F2933"/>
                <w:sz w:val="15"/>
              </w:rPr>
              <w:t>Ask for a warm introduction and a 20-minute senior decision call within 48 hours. Lead with exclusivity, client hospitality and community access; send the one-page commercial package before the call.</w:t>
            </w:r>
          </w:p>
        </w:tc>
      </w:tr>
    </w:tbl>
    <w:p>
      <w:pPr>
        <w:pStyle w:val="Heading2"/>
        <w:keepNext/>
      </w:pPr>
      <w:r>
        <w:t>What to say to the top five</w:t>
      </w:r>
    </w:p>
    <w:p>
      <w:pPr>
        <w:pStyle w:val="ListBullet"/>
        <w:spacing w:after="40" w:line="252" w:lineRule="auto"/>
      </w:pPr>
      <w:r>
        <w:rPr>
          <w:rFonts w:ascii="Arial" w:hAnsi="Arial"/>
          <w:b w:val="0"/>
          <w:i w:val="0"/>
          <w:color w:val="1F2933"/>
          <w:sz w:val="17"/>
        </w:rPr>
        <w:t>“This is not one tier among many: one organisation owns the entire event and all public sponsor presence.”</w:t>
      </w:r>
    </w:p>
    <w:p>
      <w:pPr>
        <w:pStyle w:val="ListBullet"/>
        <w:spacing w:after="40" w:line="252" w:lineRule="auto"/>
      </w:pPr>
      <w:r>
        <w:rPr>
          <w:rFonts w:ascii="Arial" w:hAnsi="Arial"/>
          <w:b w:val="0"/>
          <w:i w:val="0"/>
          <w:color w:val="1F2933"/>
          <w:sz w:val="17"/>
        </w:rPr>
        <w:t>“The package includes fourteen front-row centre seats and a private Cape Cod clam bake with the performers—usable for clients, referral partners or senior staff.”</w:t>
      </w:r>
    </w:p>
    <w:p>
      <w:pPr>
        <w:pStyle w:val="ListBullet"/>
        <w:spacing w:after="40" w:line="252" w:lineRule="auto"/>
      </w:pPr>
      <w:r>
        <w:rPr>
          <w:rFonts w:ascii="Arial" w:hAnsi="Arial"/>
          <w:b w:val="0"/>
          <w:i w:val="0"/>
          <w:color w:val="1F2933"/>
          <w:sz w:val="17"/>
        </w:rPr>
        <w:t>“Ticket prices are deliberately accessible to year-round residents, and a portion of seats will be provided to schools, community groups and charities.”</w:t>
      </w:r>
    </w:p>
    <w:p>
      <w:pPr>
        <w:pStyle w:val="ListBullet"/>
        <w:spacing w:after="40" w:line="252" w:lineRule="auto"/>
      </w:pPr>
      <w:r>
        <w:rPr>
          <w:rFonts w:ascii="Arial" w:hAnsi="Arial"/>
          <w:b w:val="0"/>
          <w:i w:val="0"/>
          <w:color w:val="1F2933"/>
          <w:sz w:val="17"/>
        </w:rPr>
        <w:t>“We need a senior yes/no decision by a fixed date; we will accept only one sponsor.”</w:t>
      </w:r>
    </w:p>
    <w:p>
      <w:pPr>
        <w:pStyle w:val="SmallNote"/>
      </w:pPr>
      <w:r>
        <w:rPr>
          <w:rFonts w:ascii="Arial" w:hAnsi="Arial"/>
          <w:b w:val="0"/>
          <w:i/>
          <w:color w:val="66727C"/>
          <w:sz w:val="15"/>
        </w:rPr>
        <w:t>Do not describe the payment as a tax-deductible charitable donation. Present the proposal as a commercial sponsorship with defined benefits. Obtain legal/accounting advice for any tax representation.</w:t>
      </w:r>
    </w:p>
    <w:p>
      <w:pPr>
        <w:pStyle w:val="Heading1"/>
        <w:keepNext/>
      </w:pPr>
      <w:r>
        <w:t>3. Full prospect table — sorted by strength</w:t>
      </w:r>
    </w:p>
    <w:p>
      <w:pPr>
        <w:pStyle w:val="SmallNote"/>
      </w:pPr>
      <w:r>
        <w:rPr>
          <w:rFonts w:ascii="Arial" w:hAnsi="Arial"/>
          <w:b w:val="0"/>
          <w:i w:val="0"/>
          <w:color w:val="66727C"/>
          <w:sz w:val="15"/>
        </w:rPr>
        <w:t>Status key: ACT NOW = credible July route; POSSIBLE = approach in parallel; RESERVE = lower probability or uncertain capacity; 2027 ROUTE = cycle/tax-status issue. Source codes resolve to full URLs in Appendix A.</w:t>
      </w:r>
    </w:p>
    <w:tbl>
      <w:tblPr>
        <w:tblW w:type="auto" w:w="0"/>
        <w:jc w:val="center"/>
        <w:tblLayout w:type="fixed"/>
        <w:tblLook w:firstColumn="1" w:firstRow="1" w:lastColumn="0" w:lastRow="0" w:noHBand="0" w:noVBand="1" w:val="04A0"/>
        <w:tblBorders>
          <w:top w:val="single" w:sz="3" w:space="0" w:color="B8C2CC"/>
          <w:left w:val="single" w:sz="3" w:space="0" w:color="B8C2CC"/>
          <w:bottom w:val="single" w:sz="3" w:space="0" w:color="B8C2CC"/>
          <w:right w:val="single" w:sz="3" w:space="0" w:color="B8C2CC"/>
          <w:insideH w:val="single" w:sz="3" w:space="0" w:color="B8C2CC"/>
          <w:insideV w:val="single" w:sz="3" w:space="0" w:color="B8C2CC"/>
        </w:tblBorders>
      </w:tblPr>
      <w:tblGrid>
        <w:gridCol w:w="3585"/>
        <w:gridCol w:w="3585"/>
        <w:gridCol w:w="3585"/>
        <w:gridCol w:w="3585"/>
      </w:tblGrid>
      <w:tr>
        <w:trPr>
          <w:tblHeader w:val="true"/>
        </w:trPr>
        <w:tc>
          <w:tcPr>
            <w:tcW w:type="dxa" w:w="1987"/>
            <w:shd w:fill="17324D"/>
            <w:tcMar>
              <w:top w:w="75" w:type="dxa"/>
              <w:start w:w="78" w:type="dxa"/>
              <w:bottom w:w="75" w:type="dxa"/>
              <w:end w:w="78" w:type="dxa"/>
            </w:tcMar>
            <w:vAlign w:val="center"/>
          </w:tcPr>
          <w:p>
            <w:pPr>
              <w:widowControl/>
              <w:jc w:val="center"/>
            </w:pPr>
            <w:r>
              <w:rPr>
                <w:rFonts w:ascii="Arial" w:hAnsi="Arial"/>
                <w:b/>
                <w:i w:val="0"/>
                <w:color w:val="FFFFFF"/>
                <w:sz w:val="16"/>
              </w:rPr>
              <w:t>Rank / prospect</w:t>
            </w:r>
          </w:p>
        </w:tc>
        <w:tc>
          <w:tcPr>
            <w:tcW w:type="dxa" w:w="3671"/>
            <w:shd w:fill="17324D"/>
            <w:tcMar>
              <w:top w:w="75" w:type="dxa"/>
              <w:start w:w="78" w:type="dxa"/>
              <w:bottom w:w="75" w:type="dxa"/>
              <w:end w:w="78" w:type="dxa"/>
            </w:tcMar>
            <w:vAlign w:val="center"/>
          </w:tcPr>
          <w:p>
            <w:pPr>
              <w:widowControl/>
              <w:jc w:val="center"/>
            </w:pPr>
            <w:r>
              <w:rPr>
                <w:rFonts w:ascii="Arial" w:hAnsi="Arial"/>
                <w:b/>
                <w:i w:val="0"/>
                <w:color w:val="FFFFFF"/>
                <w:sz w:val="16"/>
              </w:rPr>
              <w:t>Fit and likely budget route</w:t>
            </w:r>
          </w:p>
        </w:tc>
        <w:tc>
          <w:tcPr>
            <w:tcW w:type="dxa" w:w="4392"/>
            <w:shd w:fill="17324D"/>
            <w:tcMar>
              <w:top w:w="75" w:type="dxa"/>
              <w:start w:w="78" w:type="dxa"/>
              <w:bottom w:w="75" w:type="dxa"/>
              <w:end w:w="78" w:type="dxa"/>
            </w:tcMar>
            <w:vAlign w:val="center"/>
          </w:tcPr>
          <w:p>
            <w:pPr>
              <w:widowControl/>
              <w:jc w:val="center"/>
            </w:pPr>
            <w:r>
              <w:rPr>
                <w:rFonts w:ascii="Arial" w:hAnsi="Arial"/>
                <w:b/>
                <w:i w:val="0"/>
                <w:color w:val="FFFFFF"/>
                <w:sz w:val="16"/>
              </w:rPr>
              <w:t>Evidence, amount and venue warmth</w:t>
            </w:r>
          </w:p>
        </w:tc>
        <w:tc>
          <w:tcPr>
            <w:tcW w:type="dxa" w:w="4320"/>
            <w:shd w:fill="17324D"/>
            <w:tcMar>
              <w:top w:w="75" w:type="dxa"/>
              <w:start w:w="78" w:type="dxa"/>
              <w:bottom w:w="75" w:type="dxa"/>
              <w:end w:w="78" w:type="dxa"/>
            </w:tcMar>
            <w:vAlign w:val="center"/>
          </w:tcPr>
          <w:p>
            <w:pPr>
              <w:widowControl/>
              <w:jc w:val="center"/>
            </w:pPr>
            <w:r>
              <w:rPr>
                <w:rFonts w:ascii="Arial" w:hAnsi="Arial"/>
                <w:b/>
                <w:i w:val="0"/>
                <w:color w:val="FFFFFF"/>
                <w:sz w:val="16"/>
              </w:rPr>
              <w:t>Decision route, timing and sources</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1. Cape &amp; Coast Bank</w:t>
            </w:r>
          </w:p>
          <w:p>
            <w:pPr>
              <w:widowControl/>
              <w:spacing w:after="20"/>
            </w:pPr>
            <w:r>
              <w:rPr>
                <w:rFonts w:ascii="Arial" w:hAnsi="Arial"/>
                <w:b w:val="0"/>
                <w:i/>
                <w:color w:val="66727C"/>
                <w:sz w:val="13"/>
              </w:rPr>
              <w:t>Bank</w:t>
            </w:r>
          </w:p>
          <w:p>
            <w:pPr>
              <w:widowControl/>
              <w:spacing w:after="0"/>
            </w:pPr>
            <w:r>
              <w:rPr>
                <w:rFonts w:ascii="Arial" w:hAnsi="Arial"/>
                <w:b/>
                <w:i w:val="0"/>
                <w:color w:val="2F6B72"/>
                <w:sz w:val="14"/>
              </w:rPr>
              <w:t>Score 24/25</w:t>
            </w:r>
          </w:p>
          <w:p>
            <w:pPr>
              <w:widowControl/>
              <w:spacing w:after="0"/>
            </w:pPr>
            <w:r>
              <w:rPr>
                <w:rFonts w:ascii="Arial" w:hAnsi="Arial"/>
                <w:b/>
                <w:i w:val="0"/>
                <w:color w:val="2F6B72"/>
                <w:sz w:val="13"/>
              </w:rPr>
              <w:t>ACT NOW</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A Cape-headquartered community bank with a public sponsorship route, an identified community-relations officer and sufficient scale. Inference: the cleanest budget route is corporate sponsorship/community relations, with client entertainment as the commercial rationale.</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in 2026 as a CCCC Educational Foundation golf sponsor, Cape Playhouse supporting partner and Arts Gala sponsor. Public amounts for those listings were not disclosed. The bank reported US$443,390 in grants and community support for the financial year ended 31 March 2026.</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Very warm: repeated 2026 arts support plus direct sponsorship of the CCCC Foundation event.</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Katharine Linehan, Community Relations Officer. Erik Porter, President and Chief Executive Officer, is the sensible escalation if an exception is needed.</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lead time was found on the sponsorship page. This is the strongest genuine 2026 opportunity: request a same-week senior review rather than enter a slow grant process.</w:t>
            </w:r>
          </w:p>
          <w:p>
            <w:pPr>
              <w:widowControl/>
              <w:spacing w:after="0"/>
            </w:pPr>
            <w:r>
              <w:rPr>
                <w:rFonts w:ascii="Arial" w:hAnsi="Arial"/>
                <w:b/>
                <w:i w:val="0"/>
                <w:color w:val="17324D"/>
                <w:sz w:val="13"/>
              </w:rPr>
              <w:t xml:space="preserve">Sources: </w:t>
            </w:r>
            <w:r>
              <w:rPr>
                <w:rFonts w:ascii="Arial" w:hAnsi="Arial"/>
                <w:b w:val="0"/>
                <w:i w:val="0"/>
                <w:color w:val="2E5F8A"/>
                <w:sz w:val="13"/>
              </w:rPr>
              <w:t>S01, S03, S04, S11, S12</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2. Cape Cod 5</w:t>
            </w:r>
          </w:p>
          <w:p>
            <w:pPr>
              <w:widowControl/>
              <w:spacing w:after="20"/>
            </w:pPr>
            <w:r>
              <w:rPr>
                <w:rFonts w:ascii="Arial" w:hAnsi="Arial"/>
                <w:b w:val="0"/>
                <w:i/>
                <w:color w:val="66727C"/>
                <w:sz w:val="13"/>
              </w:rPr>
              <w:t>Bank</w:t>
            </w:r>
          </w:p>
          <w:p>
            <w:pPr>
              <w:widowControl/>
              <w:spacing w:after="0"/>
            </w:pPr>
            <w:r>
              <w:rPr>
                <w:rFonts w:ascii="Arial" w:hAnsi="Arial"/>
                <w:b/>
                <w:i w:val="0"/>
                <w:color w:val="2F6B72"/>
                <w:sz w:val="14"/>
              </w:rPr>
              <w:t>Score 23/25</w:t>
            </w:r>
          </w:p>
          <w:p>
            <w:pPr>
              <w:widowControl/>
              <w:spacing w:after="0"/>
            </w:pPr>
            <w:r>
              <w:rPr>
                <w:rFonts w:ascii="Arial" w:hAnsi="Arial"/>
                <w:b/>
                <w:i w:val="0"/>
                <w:color w:val="2F6B72"/>
                <w:sz w:val="13"/>
              </w:rPr>
              <w:t>ACT NOW — EXCEPTION</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The Cape’s most evidenced community sponsor in this review, with a dedicated event-sponsorship application and substantial annual philanthropy. Inference: event sponsorship/community engagement, reinforced by premium client hospitality.</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in 2026 as a CCCC golf sponsor, Cape Playhouse partner, Arts Gala sponsor and Heritage season sponsor. Its 2025 Impact Report states US$1.8 million in charitable giving; the public application page says more than US$1 million a year in philanthropic support. Specific Cape sponsorship amounts were not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Exceptionally warm: Chris Richards sits on the CCCC Educational Foundation Board and the bank is a current Foundation sponsor.</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Chris Richards, Senior Vice President and Chief Banking Services Officer, is the best warm internal champion; the formal route is the Community Engagement team.</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Applications are rolling but should be submitted at least two months before funds are needed. The normal 2026 window has passed, so only a senior-approved exception or direct marketing allocation is realistic.</w:t>
            </w:r>
          </w:p>
          <w:p>
            <w:pPr>
              <w:widowControl/>
              <w:spacing w:after="0"/>
            </w:pPr>
            <w:r>
              <w:rPr>
                <w:rFonts w:ascii="Arial" w:hAnsi="Arial"/>
                <w:b/>
                <w:i w:val="0"/>
                <w:color w:val="17324D"/>
                <w:sz w:val="13"/>
              </w:rPr>
              <w:t xml:space="preserve">Sources: </w:t>
            </w:r>
            <w:r>
              <w:rPr>
                <w:rFonts w:ascii="Arial" w:hAnsi="Arial"/>
                <w:b w:val="0"/>
                <w:i w:val="0"/>
                <w:color w:val="2E5F8A"/>
                <w:sz w:val="13"/>
              </w:rPr>
              <w:t>S01, S02, S03, S04, S07, S09, S10</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3. Cape Air</w:t>
            </w:r>
          </w:p>
          <w:p>
            <w:pPr>
              <w:widowControl/>
              <w:spacing w:after="20"/>
            </w:pPr>
            <w:r>
              <w:rPr>
                <w:rFonts w:ascii="Arial" w:hAnsi="Arial"/>
                <w:b w:val="0"/>
                <w:i/>
                <w:color w:val="66727C"/>
                <w:sz w:val="13"/>
              </w:rPr>
              <w:t>Family / travel</w:t>
            </w:r>
          </w:p>
          <w:p>
            <w:pPr>
              <w:widowControl/>
              <w:spacing w:after="0"/>
            </w:pPr>
            <w:r>
              <w:rPr>
                <w:rFonts w:ascii="Arial" w:hAnsi="Arial"/>
                <w:b/>
                <w:i w:val="0"/>
                <w:color w:val="2F6B72"/>
                <w:sz w:val="14"/>
              </w:rPr>
              <w:t>Score 23/25</w:t>
            </w:r>
          </w:p>
          <w:p>
            <w:pPr>
              <w:widowControl/>
              <w:spacing w:after="0"/>
            </w:pPr>
            <w:r>
              <w:rPr>
                <w:rFonts w:ascii="Arial" w:hAnsi="Arial"/>
                <w:b/>
                <w:i w:val="0"/>
                <w:color w:val="2F6B72"/>
                <w:sz w:val="13"/>
              </w:rPr>
              <w:t>ACT NOW</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Hyannis-headquartered travel brand with an audience overlap in Cape residents, visitors and business clients. The fourteen premium seats and private clam bake are unusually strong executive/client-entertainment assets. Inference: corporate affairs, marketing or community relations.</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in 2026 as a CCCC golf sponsor and Cape Playhouse supporting partner. Cape Air states that it supports hundreds of organisations each year; public amounts were not found for the cited Cape sponsorships.</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Very warm: Linda Markham, former Cape Air President and Chief Executive Officer, chairs the CCCC Educational Foundation.</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Charles J. Ferrara Jr, Vice President of Corporate and Airport Affairs, with Michael Migliore, President and Chief Executive Officer, as executive approver.</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application deadline was found. A direct executive approach through the Foundation Chair is viable for a July decision.</w:t>
            </w:r>
          </w:p>
          <w:p>
            <w:pPr>
              <w:widowControl/>
              <w:spacing w:after="0"/>
            </w:pPr>
            <w:r>
              <w:rPr>
                <w:rFonts w:ascii="Arial" w:hAnsi="Arial"/>
                <w:b/>
                <w:i w:val="0"/>
                <w:color w:val="17324D"/>
                <w:sz w:val="13"/>
              </w:rPr>
              <w:t xml:space="preserve">Sources: </w:t>
            </w:r>
            <w:r>
              <w:rPr>
                <w:rFonts w:ascii="Arial" w:hAnsi="Arial"/>
                <w:b w:val="0"/>
                <w:i w:val="0"/>
                <w:color w:val="2E5F8A"/>
                <w:sz w:val="13"/>
              </w:rPr>
              <w:t>S01, S02, S03, S15, S16</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4. Tighe &amp; Bond</w:t>
            </w:r>
          </w:p>
          <w:p>
            <w:pPr>
              <w:widowControl/>
              <w:spacing w:after="20"/>
            </w:pPr>
            <w:r>
              <w:rPr>
                <w:rFonts w:ascii="Arial" w:hAnsi="Arial"/>
                <w:b w:val="0"/>
                <w:i/>
                <w:color w:val="66727C"/>
                <w:sz w:val="13"/>
              </w:rPr>
              <w:t>Engineering / professional services</w:t>
            </w:r>
          </w:p>
          <w:p>
            <w:pPr>
              <w:widowControl/>
              <w:spacing w:after="0"/>
            </w:pPr>
            <w:r>
              <w:rPr>
                <w:rFonts w:ascii="Arial" w:hAnsi="Arial"/>
                <w:b/>
                <w:i w:val="0"/>
                <w:color w:val="2F6B72"/>
                <w:sz w:val="14"/>
              </w:rPr>
              <w:t>Score 22/25</w:t>
            </w:r>
          </w:p>
          <w:p>
            <w:pPr>
              <w:widowControl/>
              <w:spacing w:after="0"/>
            </w:pPr>
            <w:r>
              <w:rPr>
                <w:rFonts w:ascii="Arial" w:hAnsi="Arial"/>
                <w:b/>
                <w:i w:val="0"/>
                <w:color w:val="2F6B72"/>
                <w:sz w:val="13"/>
              </w:rPr>
              <w:t>ACT NOW</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A sizeable employee-owned engineering and environmental firm with Cape-facing work, cultural/recreation expertise and an explicit history of corporate donations. Inference: marketing/client development rather than a charitable grant.</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2026 CCCC Educational Foundation golf sponsor. The firm states that corporate donations to local communities have long been a hallmark; no public amount was found for its Cape sponsorship.</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Warm: current direct sponsor of the CCCC Foundation event.</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Keri Drake, CPSM, Chief Marketing Officer; Robert Belitz, President and Chief Executive Officer, is the escalation point.</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The named CMO and current venue relationship make a rapid marketing decision plausible.</w:t>
            </w:r>
          </w:p>
          <w:p>
            <w:pPr>
              <w:widowControl/>
              <w:spacing w:after="0"/>
            </w:pPr>
            <w:r>
              <w:rPr>
                <w:rFonts w:ascii="Arial" w:hAnsi="Arial"/>
                <w:b/>
                <w:i w:val="0"/>
                <w:color w:val="17324D"/>
                <w:sz w:val="13"/>
              </w:rPr>
              <w:t xml:space="preserve">Sources: </w:t>
            </w:r>
            <w:r>
              <w:rPr>
                <w:rFonts w:ascii="Arial" w:hAnsi="Arial"/>
                <w:b w:val="0"/>
                <w:i w:val="0"/>
                <w:color w:val="2E5F8A"/>
                <w:sz w:val="13"/>
              </w:rPr>
              <w:t>S01, S17, S18</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5. Rockland Trust</w:t>
            </w:r>
          </w:p>
          <w:p>
            <w:pPr>
              <w:widowControl/>
              <w:spacing w:after="20"/>
            </w:pPr>
            <w:r>
              <w:rPr>
                <w:rFonts w:ascii="Arial" w:hAnsi="Arial"/>
                <w:b w:val="0"/>
                <w:i/>
                <w:color w:val="66727C"/>
                <w:sz w:val="13"/>
              </w:rPr>
              <w:t>Bank</w:t>
            </w:r>
          </w:p>
          <w:p>
            <w:pPr>
              <w:widowControl/>
              <w:spacing w:after="0"/>
            </w:pPr>
            <w:r>
              <w:rPr>
                <w:rFonts w:ascii="Arial" w:hAnsi="Arial"/>
                <w:b/>
                <w:i w:val="0"/>
                <w:color w:val="2F6B72"/>
                <w:sz w:val="14"/>
              </w:rPr>
              <w:t>Score 21/25</w:t>
            </w:r>
          </w:p>
          <w:p>
            <w:pPr>
              <w:widowControl/>
              <w:spacing w:after="0"/>
            </w:pPr>
            <w:r>
              <w:rPr>
                <w:rFonts w:ascii="Arial" w:hAnsi="Arial"/>
                <w:b/>
                <w:i w:val="0"/>
                <w:color w:val="2F6B72"/>
                <w:sz w:val="13"/>
              </w:rPr>
              <w:t>ACT NOW — BORDERLINE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Its public programme explicitly includes cultural performances and community events. Scale is adequate and the proposal has strong client-entertainment value. Inference: event sponsorship, with a marketing escalation if the formal queue is too slow.</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2026 CCCC golf sponsor. Rockland Trust reports US$5.8 million distributed in 2025 through sponsorships, grants, donations, scholarships and matching gifts to 1,401 organisations. The CCCC sponsorship amount was not public.</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Warm: Becky Dowd, Vice President and Financial Consultant in Hyannis, serves on the CCCC Foundation Board and has worked on its golf committee for many years.</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Stephen Gogolak, Executive Vice President and Chief Marketing Officer, is the most plausible commercial decision-holder; Becky Dowd is the warm introducer.</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Published decision time is six to eight weeks for event sponsorships, which is too slow for the normal process. Ask immediately for a senior exception; otherwise cultivate for 2027.</w:t>
            </w:r>
          </w:p>
          <w:p>
            <w:pPr>
              <w:widowControl/>
              <w:spacing w:after="0"/>
            </w:pPr>
            <w:r>
              <w:rPr>
                <w:rFonts w:ascii="Arial" w:hAnsi="Arial"/>
                <w:b/>
                <w:i w:val="0"/>
                <w:color w:val="17324D"/>
                <w:sz w:val="13"/>
              </w:rPr>
              <w:t xml:space="preserve">Sources: </w:t>
            </w:r>
            <w:r>
              <w:rPr>
                <w:rFonts w:ascii="Arial" w:hAnsi="Arial"/>
                <w:b w:val="0"/>
                <w:i w:val="0"/>
                <w:color w:val="2E5F8A"/>
                <w:sz w:val="13"/>
              </w:rPr>
              <w:t>S01, S02, S13, S14</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6. Cape Cod Healthcare</w:t>
            </w:r>
          </w:p>
          <w:p>
            <w:pPr>
              <w:widowControl/>
              <w:spacing w:after="20"/>
            </w:pPr>
            <w:r>
              <w:rPr>
                <w:rFonts w:ascii="Arial" w:hAnsi="Arial"/>
                <w:b w:val="0"/>
                <w:i/>
                <w:color w:val="66727C"/>
                <w:sz w:val="13"/>
              </w:rPr>
              <w:t>Healthcare</w:t>
            </w:r>
          </w:p>
          <w:p>
            <w:pPr>
              <w:widowControl/>
              <w:spacing w:after="0"/>
            </w:pPr>
            <w:r>
              <w:rPr>
                <w:rFonts w:ascii="Arial" w:hAnsi="Arial"/>
                <w:b/>
                <w:i w:val="0"/>
                <w:color w:val="2F6B72"/>
                <w:sz w:val="14"/>
              </w:rPr>
              <w:t>Score 20/25</w:t>
            </w:r>
          </w:p>
          <w:p>
            <w:pPr>
              <w:widowControl/>
              <w:spacing w:after="0"/>
            </w:pPr>
            <w:r>
              <w:rPr>
                <w:rFonts w:ascii="Arial" w:hAnsi="Arial"/>
                <w:b/>
                <w:i w:val="0"/>
                <w:color w:val="66727C"/>
                <w:sz w:val="13"/>
              </w:rPr>
              <w:t>DIRECT MARKETING ONLY</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The largest local healthcare brand has reach, employer scale and demonstrated arts sponsorship. Inference: use marketing/community visibility or executive hospitality; the formal community-benefit grant route is health-focused and is not a natural fit for a comedy event.</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in 2026 as a Cape Playhouse supporting partner and Arts Gala sponsor. Public amounts were not disclosed. Its Community Benefits programme is framed around health needs and social determinants rather than general arts sponsorship.</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Warm: Diane Donalson and Anna Fiske, both Cape Cod Healthcare executives, serve on the CCCC Foundation Board.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Christopher M. Lawson, Senior Vice President and Chief Development Officer, with warm introductions through Anna Fiske, Executive Director of the Physician Enterprise, and Diane Donalson, Practice Manager II.</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usable 2026 arts-focused application deadline was found. Seek a direct marketing/executive decision, not a community-benefit grant.</w:t>
            </w:r>
          </w:p>
          <w:p>
            <w:pPr>
              <w:widowControl/>
              <w:spacing w:after="0"/>
            </w:pPr>
            <w:r>
              <w:rPr>
                <w:rFonts w:ascii="Arial" w:hAnsi="Arial"/>
                <w:b/>
                <w:i w:val="0"/>
                <w:color w:val="17324D"/>
                <w:sz w:val="13"/>
              </w:rPr>
              <w:t xml:space="preserve">Sources: </w:t>
            </w:r>
            <w:r>
              <w:rPr>
                <w:rFonts w:ascii="Arial" w:hAnsi="Arial"/>
                <w:b w:val="0"/>
                <w:i w:val="0"/>
                <w:color w:val="2E5F8A"/>
                <w:sz w:val="13"/>
              </w:rPr>
              <w:t>S02, S03, S04, S19, S20</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7. The Davenport Companies / Thirwood Place</w:t>
            </w:r>
          </w:p>
          <w:p>
            <w:pPr>
              <w:widowControl/>
              <w:spacing w:after="20"/>
            </w:pPr>
            <w:r>
              <w:rPr>
                <w:rFonts w:ascii="Arial" w:hAnsi="Arial"/>
                <w:b w:val="0"/>
                <w:i/>
                <w:color w:val="66727C"/>
                <w:sz w:val="13"/>
              </w:rPr>
              <w:t>Family business / hospitality</w:t>
            </w:r>
          </w:p>
          <w:p>
            <w:pPr>
              <w:widowControl/>
              <w:spacing w:after="0"/>
            </w:pPr>
            <w:r>
              <w:rPr>
                <w:rFonts w:ascii="Arial" w:hAnsi="Arial"/>
                <w:b/>
                <w:i w:val="0"/>
                <w:color w:val="2F6B72"/>
                <w:sz w:val="14"/>
              </w:rPr>
              <w:t>Score 20/25</w:t>
            </w:r>
          </w:p>
          <w:p>
            <w:pPr>
              <w:widowControl/>
              <w:spacing w:after="0"/>
            </w:pPr>
            <w:r>
              <w:rPr>
                <w:rFonts w:ascii="Arial" w:hAnsi="Arial"/>
                <w:b/>
                <w:i w:val="0"/>
                <w:color w:val="2F6B72"/>
                <w:sz w:val="13"/>
              </w:rPr>
              <w:t>ACT NOW — OWNER EXCEPTION</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Fourth-generation Cape business group with a documented arts foundation, a corporate giving committee and a record of underwriting a major community event. Inference: owner-led corporate sponsorship, hospitality or client entertainment.</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Thirwood Place is listed as a 2026 Cape Playhouse supporting partner; the Davenport Foundation is listed as a current Cape Cod Theatre Company supporter. The company’s Seaside Le Mans page records nearly US$9 million raised by 2022, an older capacity indicator rather than evidence within the last three years. Current sponsorship amounts were not public.</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Warm to the Cape arts ecosystem, though no direct CCCC/Tilden relationship was located.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DeWitt P. Davenport and Susan Davenport, trustees of the family foundations; for a corporate exception, route to the Davenport Companies ownership office.</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Arts Foundation deadline 15 May; corporate donation committee meets in June and December; health/welfare foundation deadline 15 November. Formal 2026 routes are closed or mistimed, leaving only an owner exception.</w:t>
            </w:r>
          </w:p>
          <w:p>
            <w:pPr>
              <w:widowControl/>
              <w:spacing w:after="0"/>
            </w:pPr>
            <w:r>
              <w:rPr>
                <w:rFonts w:ascii="Arial" w:hAnsi="Arial"/>
                <w:b/>
                <w:i w:val="0"/>
                <w:color w:val="17324D"/>
                <w:sz w:val="13"/>
              </w:rPr>
              <w:t xml:space="preserve">Sources: </w:t>
            </w:r>
            <w:r>
              <w:rPr>
                <w:rFonts w:ascii="Arial" w:hAnsi="Arial"/>
                <w:b w:val="0"/>
                <w:i w:val="0"/>
                <w:color w:val="2E5F8A"/>
                <w:sz w:val="13"/>
              </w:rPr>
              <w:t>S03, S05, S21, S22</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8. Cape Associates</w:t>
            </w:r>
          </w:p>
          <w:p>
            <w:pPr>
              <w:widowControl/>
              <w:spacing w:after="20"/>
            </w:pPr>
            <w:r>
              <w:rPr>
                <w:rFonts w:ascii="Arial" w:hAnsi="Arial"/>
                <w:b w:val="0"/>
                <w:i/>
                <w:color w:val="66727C"/>
                <w:sz w:val="13"/>
              </w:rPr>
              <w:t>Construction</w:t>
            </w:r>
          </w:p>
          <w:p>
            <w:pPr>
              <w:widowControl/>
              <w:spacing w:after="0"/>
            </w:pPr>
            <w:r>
              <w:rPr>
                <w:rFonts w:ascii="Arial" w:hAnsi="Arial"/>
                <w:b/>
                <w:i w:val="0"/>
                <w:color w:val="2F6B72"/>
                <w:sz w:val="14"/>
              </w:rPr>
              <w:t>Score 19/25</w:t>
            </w:r>
          </w:p>
          <w:p>
            <w:pPr>
              <w:widowControl/>
              <w:spacing w:after="0"/>
            </w:pPr>
            <w:r>
              <w:rPr>
                <w:rFonts w:ascii="Arial" w:hAnsi="Arial"/>
                <w:b/>
                <w:i w:val="0"/>
                <w:color w:val="2F6B72"/>
                <w:sz w:val="13"/>
              </w:rPr>
              <w:t>ACT NOW</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Large year-round Cape builder with high-value clients, four Cape offices and explicit arts/community philanthropy. The hospitality package is well suited to client cultivation. Inference: marketing, client entertainment or the company’s philanthropic budget.</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2026 Cape Playhouse supporting partner. Cape Associates describes an annual playhouse programme and annual or continuing support for the Arts Foundation of Cape Cod and other Cape organisations; public amounts were not found.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Warm to Cape theatre, but no direct CCCC/Tilden link was located.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Matthew H. Cole, President and Chief Executive Officer.</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deadline was found. Owner/executive approval could still be obtained quickly.</w:t>
            </w:r>
          </w:p>
          <w:p>
            <w:pPr>
              <w:widowControl/>
              <w:spacing w:after="0"/>
            </w:pPr>
            <w:r>
              <w:rPr>
                <w:rFonts w:ascii="Arial" w:hAnsi="Arial"/>
                <w:b/>
                <w:i w:val="0"/>
                <w:color w:val="17324D"/>
                <w:sz w:val="13"/>
              </w:rPr>
              <w:t xml:space="preserve">Sources: </w:t>
            </w:r>
            <w:r>
              <w:rPr>
                <w:rFonts w:ascii="Arial" w:hAnsi="Arial"/>
                <w:b w:val="0"/>
                <w:i w:val="0"/>
                <w:color w:val="2E5F8A"/>
                <w:sz w:val="13"/>
              </w:rPr>
              <w:t>S03, S23, S24</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9. Lawrence-Lynch Corp.</w:t>
            </w:r>
          </w:p>
          <w:p>
            <w:pPr>
              <w:widowControl/>
              <w:spacing w:after="20"/>
            </w:pPr>
            <w:r>
              <w:rPr>
                <w:rFonts w:ascii="Arial" w:hAnsi="Arial"/>
                <w:b w:val="0"/>
                <w:i/>
                <w:color w:val="66727C"/>
                <w:sz w:val="13"/>
              </w:rPr>
              <w:t>Construction</w:t>
            </w:r>
          </w:p>
          <w:p>
            <w:pPr>
              <w:widowControl/>
              <w:spacing w:after="0"/>
            </w:pPr>
            <w:r>
              <w:rPr>
                <w:rFonts w:ascii="Arial" w:hAnsi="Arial"/>
                <w:b/>
                <w:i w:val="0"/>
                <w:color w:val="2F6B72"/>
                <w:sz w:val="14"/>
              </w:rPr>
              <w:t>Score 18/25</w:t>
            </w:r>
          </w:p>
          <w:p>
            <w:pPr>
              <w:widowControl/>
              <w:spacing w:after="0"/>
            </w:pPr>
            <w:r>
              <w:rPr>
                <w:rFonts w:ascii="Arial" w:hAnsi="Arial"/>
                <w:b/>
                <w:i w:val="0"/>
                <w:color w:val="2F6B72"/>
                <w:sz w:val="13"/>
              </w:rPr>
              <w:t>ACT NOW</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A multi-generational Cape construction business with local workforce, municipal/business relationships and current theatre support. Inference: corporate marketing, community relations or owner-led client entertainment.</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2026 Cape Playhouse supporting partner. The company describes its Falmouth operation and family leadership; the Playhouse listing does not disclose an amount.</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Warm to Cape theatre; no direct CCCC/Tilden relationship was found.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Christopher Lynch, President.</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giving cycle was found. Direct owner/president outreach is the practical 2026 route.</w:t>
            </w:r>
          </w:p>
          <w:p>
            <w:pPr>
              <w:widowControl/>
              <w:spacing w:after="0"/>
            </w:pPr>
            <w:r>
              <w:rPr>
                <w:rFonts w:ascii="Arial" w:hAnsi="Arial"/>
                <w:b/>
                <w:i w:val="0"/>
                <w:color w:val="17324D"/>
                <w:sz w:val="13"/>
              </w:rPr>
              <w:t xml:space="preserve">Sources: </w:t>
            </w:r>
            <w:r>
              <w:rPr>
                <w:rFonts w:ascii="Arial" w:hAnsi="Arial"/>
                <w:b w:val="0"/>
                <w:i w:val="0"/>
                <w:color w:val="2E5F8A"/>
                <w:sz w:val="13"/>
              </w:rPr>
              <w:t>S03, S27</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10. Eastern Bank</w:t>
            </w:r>
          </w:p>
          <w:p>
            <w:pPr>
              <w:widowControl/>
              <w:spacing w:after="20"/>
            </w:pPr>
            <w:r>
              <w:rPr>
                <w:rFonts w:ascii="Arial" w:hAnsi="Arial"/>
                <w:b w:val="0"/>
                <w:i/>
                <w:color w:val="66727C"/>
                <w:sz w:val="13"/>
              </w:rPr>
              <w:t>Bank</w:t>
            </w:r>
          </w:p>
          <w:p>
            <w:pPr>
              <w:widowControl/>
              <w:spacing w:after="0"/>
            </w:pPr>
            <w:r>
              <w:rPr>
                <w:rFonts w:ascii="Arial" w:hAnsi="Arial"/>
                <w:b/>
                <w:i w:val="0"/>
                <w:color w:val="2F6B72"/>
                <w:sz w:val="14"/>
              </w:rPr>
              <w:t>Score 18/25</w:t>
            </w:r>
          </w:p>
          <w:p>
            <w:pPr>
              <w:widowControl/>
              <w:spacing w:after="0"/>
            </w:pPr>
            <w:r>
              <w:rPr>
                <w:rFonts w:ascii="Arial" w:hAnsi="Arial"/>
                <w:b/>
                <w:i w:val="0"/>
                <w:color w:val="2E5F8A"/>
                <w:sz w:val="13"/>
              </w:rPr>
              <w:t>POSSIBLE — EXCEPTION</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Large Massachusetts bank with a major foundation and a current Cape arts sponsorship. Inference: commercial marketing is more promising than the standard donation route at the requested amount.</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2026 Arts Gala sponsor. Eastern accepts community-donation requests on a rolling basis, but its disclosed normal community-donation range is generally US$1,000–US$10,000; amounts for the Cape sponsorship were not public.</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Arts relationship exists; no direct CCCC/Tilden connection was located.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Danielle Remis Hackel, Executive Vice President and Chief Marketing Officer, for a marketing exception; the Foundation application is the formal route.</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Eastern generally indicates a decision within about 60 days. The standard charitable route is too slow, often requires 501(c)(3) status and is below the ask; a CMO-led commercial exception is the only credible 2026 path.</w:t>
            </w:r>
          </w:p>
          <w:p>
            <w:pPr>
              <w:widowControl/>
              <w:spacing w:after="0"/>
            </w:pPr>
            <w:r>
              <w:rPr>
                <w:rFonts w:ascii="Arial" w:hAnsi="Arial"/>
                <w:b/>
                <w:i w:val="0"/>
                <w:color w:val="17324D"/>
                <w:sz w:val="13"/>
              </w:rPr>
              <w:t xml:space="preserve">Sources: </w:t>
            </w:r>
            <w:r>
              <w:rPr>
                <w:rFonts w:ascii="Arial" w:hAnsi="Arial"/>
                <w:b w:val="0"/>
                <w:i w:val="0"/>
                <w:color w:val="2E5F8A"/>
                <w:sz w:val="13"/>
              </w:rPr>
              <w:t>S04, S25, S26</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11. William Raveis Real Estate</w:t>
            </w:r>
          </w:p>
          <w:p>
            <w:pPr>
              <w:widowControl/>
              <w:spacing w:after="20"/>
            </w:pPr>
            <w:r>
              <w:rPr>
                <w:rFonts w:ascii="Arial" w:hAnsi="Arial"/>
                <w:b w:val="0"/>
                <w:i/>
                <w:color w:val="66727C"/>
                <w:sz w:val="13"/>
              </w:rPr>
              <w:t>Real estate</w:t>
            </w:r>
          </w:p>
          <w:p>
            <w:pPr>
              <w:widowControl/>
              <w:spacing w:after="0"/>
            </w:pPr>
            <w:r>
              <w:rPr>
                <w:rFonts w:ascii="Arial" w:hAnsi="Arial"/>
                <w:b/>
                <w:i w:val="0"/>
                <w:color w:val="2F6B72"/>
                <w:sz w:val="14"/>
              </w:rPr>
              <w:t>Score 17/25</w:t>
            </w:r>
          </w:p>
          <w:p>
            <w:pPr>
              <w:widowControl/>
              <w:spacing w:after="0"/>
            </w:pPr>
            <w:r>
              <w:rPr>
                <w:rFonts w:ascii="Arial" w:hAnsi="Arial"/>
                <w:b/>
                <w:i w:val="0"/>
                <w:color w:val="2E5F8A"/>
                <w:sz w:val="13"/>
              </w:rPr>
              <w:t>POSSIBLE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Luxury residential brokerage with Cape offices and strong client-entertainment logic. Inference: regional marketing, broker recruitment or client hospitality, not the charitable fund.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2026 Arts Gala sponsor. The William Raveis Charitable Fund is focused on cancer research, so it is not the natural budget source for this proposal. The Gala amount was not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Current Cape arts sponsor; no CCCC/Tilden relationship was located.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William Raveis, Founder, Chairman and Chief Executive Officer; operationally, route through the Cape Cod regional marketing/leadership team, whose named sponsorship holder was not publicly identifiable in this review.</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sponsorship deadline was found. A regional marketing decision may still be possible in July.</w:t>
            </w:r>
          </w:p>
          <w:p>
            <w:pPr>
              <w:widowControl/>
              <w:spacing w:after="0"/>
            </w:pPr>
            <w:r>
              <w:rPr>
                <w:rFonts w:ascii="Arial" w:hAnsi="Arial"/>
                <w:b/>
                <w:i w:val="0"/>
                <w:color w:val="17324D"/>
                <w:sz w:val="13"/>
              </w:rPr>
              <w:t xml:space="preserve">Sources: </w:t>
            </w:r>
            <w:r>
              <w:rPr>
                <w:rFonts w:ascii="Arial" w:hAnsi="Arial"/>
                <w:b w:val="0"/>
                <w:i w:val="0"/>
                <w:color w:val="2E5F8A"/>
                <w:sz w:val="13"/>
              </w:rPr>
              <w:t>S04, S28, S29</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12. Seamen's Bank</w:t>
            </w:r>
          </w:p>
          <w:p>
            <w:pPr>
              <w:widowControl/>
              <w:spacing w:after="20"/>
            </w:pPr>
            <w:r>
              <w:rPr>
                <w:rFonts w:ascii="Arial" w:hAnsi="Arial"/>
                <w:b w:val="0"/>
                <w:i/>
                <w:color w:val="66727C"/>
                <w:sz w:val="13"/>
              </w:rPr>
              <w:t>Bank</w:t>
            </w:r>
          </w:p>
          <w:p>
            <w:pPr>
              <w:widowControl/>
              <w:spacing w:after="0"/>
            </w:pPr>
            <w:r>
              <w:rPr>
                <w:rFonts w:ascii="Arial" w:hAnsi="Arial"/>
                <w:b/>
                <w:i w:val="0"/>
                <w:color w:val="2F6B72"/>
                <w:sz w:val="14"/>
              </w:rPr>
              <w:t>Score 17/25</w:t>
            </w:r>
          </w:p>
          <w:p>
            <w:pPr>
              <w:widowControl/>
              <w:spacing w:after="0"/>
            </w:pPr>
            <w:r>
              <w:rPr>
                <w:rFonts w:ascii="Arial" w:hAnsi="Arial"/>
                <w:b/>
                <w:i w:val="0"/>
                <w:color w:val="2F6B72"/>
                <w:sz w:val="13"/>
              </w:rPr>
              <w:t>ACT NOW</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Outer Cape community bank with a close local identity and current support for a major Cape marine-science organisation. Inference: community relations/event sponsorship.</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among current Center for Coastal Studies sponsors;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No direct CCCC/Tilden relationship was found, but the bank has recent Cape sponsorship behaviour.</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Christine M. McCarthy, Chief Executive Officer.</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sponsorship cycle was found. Direct chief-executive outreach is appropriate for a rapid decision.</w:t>
            </w:r>
          </w:p>
          <w:p>
            <w:pPr>
              <w:widowControl/>
              <w:spacing w:after="0"/>
            </w:pPr>
            <w:r>
              <w:rPr>
                <w:rFonts w:ascii="Arial" w:hAnsi="Arial"/>
                <w:b/>
                <w:i w:val="0"/>
                <w:color w:val="17324D"/>
                <w:sz w:val="13"/>
              </w:rPr>
              <w:t xml:space="preserve">Sources: </w:t>
            </w:r>
            <w:r>
              <w:rPr>
                <w:rFonts w:ascii="Arial" w:hAnsi="Arial"/>
                <w:b w:val="0"/>
                <w:i w:val="0"/>
                <w:color w:val="2E5F8A"/>
                <w:sz w:val="13"/>
              </w:rPr>
              <w:t>S06, S30</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13. Hy-Line Cruises</w:t>
            </w:r>
          </w:p>
          <w:p>
            <w:pPr>
              <w:widowControl/>
              <w:spacing w:after="20"/>
            </w:pPr>
            <w:r>
              <w:rPr>
                <w:rFonts w:ascii="Arial" w:hAnsi="Arial"/>
                <w:b w:val="0"/>
                <w:i/>
                <w:color w:val="66727C"/>
                <w:sz w:val="13"/>
              </w:rPr>
              <w:t>Marine / travel</w:t>
            </w:r>
          </w:p>
          <w:p>
            <w:pPr>
              <w:widowControl/>
              <w:spacing w:after="0"/>
            </w:pPr>
            <w:r>
              <w:rPr>
                <w:rFonts w:ascii="Arial" w:hAnsi="Arial"/>
                <w:b/>
                <w:i w:val="0"/>
                <w:color w:val="2F6B72"/>
                <w:sz w:val="14"/>
              </w:rPr>
              <w:t>Score 17/25</w:t>
            </w:r>
          </w:p>
          <w:p>
            <w:pPr>
              <w:widowControl/>
              <w:spacing w:after="0"/>
            </w:pPr>
            <w:r>
              <w:rPr>
                <w:rFonts w:ascii="Arial" w:hAnsi="Arial"/>
                <w:b/>
                <w:i w:val="0"/>
                <w:color w:val="2E5F8A"/>
                <w:sz w:val="13"/>
              </w:rPr>
              <w:t>POSSIBLE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Hyannis ferry and excursion operator with direct access to residents, visitors and hospitality buyers. The package offers excellent customer, partner and employee entertainment. Inference: marketing/community sponsorship.</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current Cape Cod Theatre Company supporter;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Recent Cape theatre support, but no CCCC/Tilden relationship was found.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current sponsorship decision-holder was not findable in the reviewed public material. Route to the President/ownership office and marketing leadership.</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deadline was found. A family-business or executive decision could be rapid, but capacity at US$17,500 should be tested early.</w:t>
            </w:r>
          </w:p>
          <w:p>
            <w:pPr>
              <w:widowControl/>
              <w:spacing w:after="0"/>
            </w:pPr>
            <w:r>
              <w:rPr>
                <w:rFonts w:ascii="Arial" w:hAnsi="Arial"/>
                <w:b/>
                <w:i w:val="0"/>
                <w:color w:val="17324D"/>
                <w:sz w:val="13"/>
              </w:rPr>
              <w:t xml:space="preserve">Sources: </w:t>
            </w:r>
            <w:r>
              <w:rPr>
                <w:rFonts w:ascii="Arial" w:hAnsi="Arial"/>
                <w:b w:val="0"/>
                <w:i w:val="0"/>
                <w:color w:val="2E5F8A"/>
                <w:sz w:val="13"/>
              </w:rPr>
              <w:t>S05, S31</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14. Arbella Insurance Group</w:t>
            </w:r>
          </w:p>
          <w:p>
            <w:pPr>
              <w:widowControl/>
              <w:spacing w:after="20"/>
            </w:pPr>
            <w:r>
              <w:rPr>
                <w:rFonts w:ascii="Arial" w:hAnsi="Arial"/>
                <w:b w:val="0"/>
                <w:i/>
                <w:color w:val="66727C"/>
                <w:sz w:val="13"/>
              </w:rPr>
              <w:t>Insurance</w:t>
            </w:r>
          </w:p>
          <w:p>
            <w:pPr>
              <w:widowControl/>
              <w:spacing w:after="0"/>
            </w:pPr>
            <w:r>
              <w:rPr>
                <w:rFonts w:ascii="Arial" w:hAnsi="Arial"/>
                <w:b/>
                <w:i w:val="0"/>
                <w:color w:val="2F6B72"/>
                <w:sz w:val="14"/>
              </w:rPr>
              <w:t>Score 16/25</w:t>
            </w:r>
          </w:p>
          <w:p>
            <w:pPr>
              <w:widowControl/>
              <w:spacing w:after="0"/>
            </w:pPr>
            <w:r>
              <w:rPr>
                <w:rFonts w:ascii="Arial" w:hAnsi="Arial"/>
                <w:b/>
                <w:i w:val="0"/>
                <w:color w:val="2E5F8A"/>
                <w:sz w:val="13"/>
              </w:rPr>
              <w:t>POSSIBLE</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Regional insurer with a visible Massachusetts community presence and a current Cape cultural sponsorship. Inference: corporate marketing, foundation or broker/client entertainment.</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2026 Heritage Museums &amp; Gardens season sponsor;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Current Cape cultural sponsor; no direct CCCC/Tilden relationship was found.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Cape sponsorship decision-holder was not findable in the reviewed official material. Route to the Arbella Insurance Foundation and corporate marketing leadership.</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deadline was confirmed. Approach as a commercial sponsorship and ask whether a 2026 discretionary allocation remains.</w:t>
            </w:r>
          </w:p>
          <w:p>
            <w:pPr>
              <w:widowControl/>
              <w:spacing w:after="0"/>
            </w:pPr>
            <w:r>
              <w:rPr>
                <w:rFonts w:ascii="Arial" w:hAnsi="Arial"/>
                <w:b/>
                <w:i w:val="0"/>
                <w:color w:val="17324D"/>
                <w:sz w:val="13"/>
              </w:rPr>
              <w:t xml:space="preserve">Sources: </w:t>
            </w:r>
            <w:r>
              <w:rPr>
                <w:rFonts w:ascii="Arial" w:hAnsi="Arial"/>
                <w:b w:val="0"/>
                <w:i w:val="0"/>
                <w:color w:val="2E5F8A"/>
                <w:sz w:val="13"/>
              </w:rPr>
              <w:t>S07, S32</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15. Bank of America</w:t>
            </w:r>
          </w:p>
          <w:p>
            <w:pPr>
              <w:widowControl/>
              <w:spacing w:after="20"/>
            </w:pPr>
            <w:r>
              <w:rPr>
                <w:rFonts w:ascii="Arial" w:hAnsi="Arial"/>
                <w:b w:val="0"/>
                <w:i/>
                <w:color w:val="66727C"/>
                <w:sz w:val="13"/>
              </w:rPr>
              <w:t>Bank</w:t>
            </w:r>
          </w:p>
          <w:p>
            <w:pPr>
              <w:widowControl/>
              <w:spacing w:after="0"/>
            </w:pPr>
            <w:r>
              <w:rPr>
                <w:rFonts w:ascii="Arial" w:hAnsi="Arial"/>
                <w:b/>
                <w:i w:val="0"/>
                <w:color w:val="2F6B72"/>
                <w:sz w:val="14"/>
              </w:rPr>
              <w:t>Score 16/25</w:t>
            </w:r>
          </w:p>
          <w:p>
            <w:pPr>
              <w:widowControl/>
              <w:spacing w:after="0"/>
            </w:pPr>
            <w:r>
              <w:rPr>
                <w:rFonts w:ascii="Arial" w:hAnsi="Arial"/>
                <w:b/>
                <w:i w:val="0"/>
                <w:color w:val="2E5F8A"/>
                <w:sz w:val="13"/>
              </w:rPr>
              <w:t>POSSIBLE — LONG SHOT</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National bank with Massachusetts market scale and a formal foundation. Inference: local market sponsorship or client entertainment is more realistic than a foundation grant for this event.</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among current Center for Coastal Studies sponsors; amount not publicly disclosed. Bank of America publishes a formal charitable-foundation route, but no evidence was found that the cited Cape support was at or near US$17,500.</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Recent Cape sponsorship behaviour; no direct CCCC/Tilden relationship was found.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Cape sponsorship holder was not publicly identifiable in this review. Route to the Massachusetts market executive/community relations team.</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Formal foundation processes are unlikely to meet a mid-July commitment. Treat as a parallel long shot through a warm banking contact.</w:t>
            </w:r>
          </w:p>
          <w:p>
            <w:pPr>
              <w:widowControl/>
              <w:spacing w:after="0"/>
            </w:pPr>
            <w:r>
              <w:rPr>
                <w:rFonts w:ascii="Arial" w:hAnsi="Arial"/>
                <w:b/>
                <w:i w:val="0"/>
                <w:color w:val="17324D"/>
                <w:sz w:val="13"/>
              </w:rPr>
              <w:t xml:space="preserve">Sources: </w:t>
            </w:r>
            <w:r>
              <w:rPr>
                <w:rFonts w:ascii="Arial" w:hAnsi="Arial"/>
                <w:b w:val="0"/>
                <w:i w:val="0"/>
                <w:color w:val="2E5F8A"/>
                <w:sz w:val="13"/>
              </w:rPr>
              <w:t>S06, S33</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16. Chatham Bars Inn</w:t>
            </w:r>
          </w:p>
          <w:p>
            <w:pPr>
              <w:widowControl/>
              <w:spacing w:after="20"/>
            </w:pPr>
            <w:r>
              <w:rPr>
                <w:rFonts w:ascii="Arial" w:hAnsi="Arial"/>
                <w:b w:val="0"/>
                <w:i/>
                <w:color w:val="66727C"/>
                <w:sz w:val="13"/>
              </w:rPr>
              <w:t>Hospitality</w:t>
            </w:r>
          </w:p>
          <w:p>
            <w:pPr>
              <w:widowControl/>
              <w:spacing w:after="0"/>
            </w:pPr>
            <w:r>
              <w:rPr>
                <w:rFonts w:ascii="Arial" w:hAnsi="Arial"/>
                <w:b/>
                <w:i w:val="0"/>
                <w:color w:val="2F6B72"/>
                <w:sz w:val="14"/>
              </w:rPr>
              <w:t>Score 16/25</w:t>
            </w:r>
          </w:p>
          <w:p>
            <w:pPr>
              <w:widowControl/>
              <w:spacing w:after="0"/>
            </w:pPr>
            <w:r>
              <w:rPr>
                <w:rFonts w:ascii="Arial" w:hAnsi="Arial"/>
                <w:b/>
                <w:i w:val="0"/>
                <w:color w:val="2E5F8A"/>
                <w:sz w:val="13"/>
              </w:rPr>
              <w:t>POSSIBLE</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High-end Cape resort with events, meetings and affluent guest/client audiences. The exclusive hospitality and premium-seat benefits are directly usable. Inference: resort marketing, sales or community sponsorship.</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current Atlantic White Shark Conservancy corporate/buoy sponsor;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Recent Cape sponsorship behaviour; no CCCC/Tilden relationship was found.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sponsorship holder was not findable in the reviewed public material. Route to the Managing Director and Director of Sales and Marketing.</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A discretionary marketing decision remains possible, though late-August resort operations may compete for attention.</w:t>
            </w:r>
          </w:p>
          <w:p>
            <w:pPr>
              <w:widowControl/>
              <w:spacing w:after="0"/>
            </w:pPr>
            <w:r>
              <w:rPr>
                <w:rFonts w:ascii="Arial" w:hAnsi="Arial"/>
                <w:b/>
                <w:i w:val="0"/>
                <w:color w:val="17324D"/>
                <w:sz w:val="13"/>
              </w:rPr>
              <w:t xml:space="preserve">Sources: </w:t>
            </w:r>
            <w:r>
              <w:rPr>
                <w:rFonts w:ascii="Arial" w:hAnsi="Arial"/>
                <w:b w:val="0"/>
                <w:i w:val="0"/>
                <w:color w:val="2E5F8A"/>
                <w:sz w:val="13"/>
              </w:rPr>
              <w:t>S08, S34</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17. Wequassett Resort and Golf Club</w:t>
            </w:r>
          </w:p>
          <w:p>
            <w:pPr>
              <w:widowControl/>
              <w:spacing w:after="20"/>
            </w:pPr>
            <w:r>
              <w:rPr>
                <w:rFonts w:ascii="Arial" w:hAnsi="Arial"/>
                <w:b w:val="0"/>
                <w:i/>
                <w:color w:val="66727C"/>
                <w:sz w:val="13"/>
              </w:rPr>
              <w:t>Hospitality</w:t>
            </w:r>
          </w:p>
          <w:p>
            <w:pPr>
              <w:widowControl/>
              <w:spacing w:after="0"/>
            </w:pPr>
            <w:r>
              <w:rPr>
                <w:rFonts w:ascii="Arial" w:hAnsi="Arial"/>
                <w:b/>
                <w:i w:val="0"/>
                <w:color w:val="2F6B72"/>
                <w:sz w:val="14"/>
              </w:rPr>
              <w:t>Score 16/25</w:t>
            </w:r>
          </w:p>
          <w:p>
            <w:pPr>
              <w:widowControl/>
              <w:spacing w:after="0"/>
            </w:pPr>
            <w:r>
              <w:rPr>
                <w:rFonts w:ascii="Arial" w:hAnsi="Arial"/>
                <w:b/>
                <w:i w:val="0"/>
                <w:color w:val="2E5F8A"/>
                <w:sz w:val="13"/>
              </w:rPr>
              <w:t>POSSIBLE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Luxury waterfront resort with meetings and events business. The clam bake and front-row package can be used for high-value guest, wedding, corporate or travel-partner cultivation. Inference: sales/marketing.</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among current Center for Coastal Studies sponsors;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Recent Cape sponsorship behaviour; no CCCC/Tilden relationship was found.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sponsorship decision-holder was not findable in the reviewed material. Route to the Managing Director and Director of Sales and Marketing.</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deadline was found. Seek a direct commercial decision, not a grant.</w:t>
            </w:r>
          </w:p>
          <w:p>
            <w:pPr>
              <w:widowControl/>
              <w:spacing w:after="0"/>
            </w:pPr>
            <w:r>
              <w:rPr>
                <w:rFonts w:ascii="Arial" w:hAnsi="Arial"/>
                <w:b/>
                <w:i w:val="0"/>
                <w:color w:val="17324D"/>
                <w:sz w:val="13"/>
              </w:rPr>
              <w:t xml:space="preserve">Sources: </w:t>
            </w:r>
            <w:r>
              <w:rPr>
                <w:rFonts w:ascii="Arial" w:hAnsi="Arial"/>
                <w:b w:val="0"/>
                <w:i w:val="0"/>
                <w:color w:val="2E5F8A"/>
                <w:sz w:val="13"/>
              </w:rPr>
              <w:t>S06, S35</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18. Red Jacket Resorts</w:t>
            </w:r>
          </w:p>
          <w:p>
            <w:pPr>
              <w:widowControl/>
              <w:spacing w:after="20"/>
            </w:pPr>
            <w:r>
              <w:rPr>
                <w:rFonts w:ascii="Arial" w:hAnsi="Arial"/>
                <w:b w:val="0"/>
                <w:i/>
                <w:color w:val="66727C"/>
                <w:sz w:val="13"/>
              </w:rPr>
              <w:t>Hospitality</w:t>
            </w:r>
          </w:p>
          <w:p>
            <w:pPr>
              <w:widowControl/>
              <w:spacing w:after="0"/>
            </w:pPr>
            <w:r>
              <w:rPr>
                <w:rFonts w:ascii="Arial" w:hAnsi="Arial"/>
                <w:b/>
                <w:i w:val="0"/>
                <w:color w:val="2F6B72"/>
                <w:sz w:val="14"/>
              </w:rPr>
              <w:t>Score 15/25</w:t>
            </w:r>
          </w:p>
          <w:p>
            <w:pPr>
              <w:widowControl/>
              <w:spacing w:after="0"/>
            </w:pPr>
            <w:r>
              <w:rPr>
                <w:rFonts w:ascii="Arial" w:hAnsi="Arial"/>
                <w:b/>
                <w:i w:val="0"/>
                <w:color w:val="2E5F8A"/>
                <w:sz w:val="13"/>
              </w:rPr>
              <w:t>POSSIBLE</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Cape resort group with family, leisure and event audiences and a current arts sponsorship. Inference: regional marketing, guest acquisition or client/partner hospitality.</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2026 Arts Gala sponsor;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Current Cape arts sponsor; no CCCC/Tilden relationship was located.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current sponsorship holder was not publicly identifiable in this review. Route to resort-group marketing leadership and ownership.</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A marketing decision is possible but the requested amount may require group-level approval.</w:t>
            </w:r>
          </w:p>
          <w:p>
            <w:pPr>
              <w:widowControl/>
              <w:spacing w:after="0"/>
            </w:pPr>
            <w:r>
              <w:rPr>
                <w:rFonts w:ascii="Arial" w:hAnsi="Arial"/>
                <w:b/>
                <w:i w:val="0"/>
                <w:color w:val="17324D"/>
                <w:sz w:val="13"/>
              </w:rPr>
              <w:t xml:space="preserve">Sources: </w:t>
            </w:r>
            <w:r>
              <w:rPr>
                <w:rFonts w:ascii="Arial" w:hAnsi="Arial"/>
                <w:b w:val="0"/>
                <w:i w:val="0"/>
                <w:color w:val="2E5F8A"/>
                <w:sz w:val="13"/>
              </w:rPr>
              <w:t>S04, S36</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19. Puritan Cape Cod</w:t>
            </w:r>
          </w:p>
          <w:p>
            <w:pPr>
              <w:widowControl/>
              <w:spacing w:after="20"/>
            </w:pPr>
            <w:r>
              <w:rPr>
                <w:rFonts w:ascii="Arial" w:hAnsi="Arial"/>
                <w:b w:val="0"/>
                <w:i/>
                <w:color w:val="66727C"/>
                <w:sz w:val="13"/>
              </w:rPr>
              <w:t>Family retail</w:t>
            </w:r>
          </w:p>
          <w:p>
            <w:pPr>
              <w:widowControl/>
              <w:spacing w:after="0"/>
            </w:pPr>
            <w:r>
              <w:rPr>
                <w:rFonts w:ascii="Arial" w:hAnsi="Arial"/>
                <w:b/>
                <w:i w:val="0"/>
                <w:color w:val="2F6B72"/>
                <w:sz w:val="14"/>
              </w:rPr>
              <w:t>Score 15/25</w:t>
            </w:r>
          </w:p>
          <w:p>
            <w:pPr>
              <w:widowControl/>
              <w:spacing w:after="0"/>
            </w:pPr>
            <w:r>
              <w:rPr>
                <w:rFonts w:ascii="Arial" w:hAnsi="Arial"/>
                <w:b/>
                <w:i w:val="0"/>
                <w:color w:val="2E5F8A"/>
                <w:sz w:val="13"/>
              </w:rPr>
              <w:t>POSSIBLE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Long-established Cape retail brand with strong local recognition and an arts-audience match. Inference: owner-led marketing/community sponsorship and customer hospitality.</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2026 Arts Gala sponsor;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Current Cape arts sponsor; no direct CCCC/Tilden link was found.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current sponsorship decision-holder was not findable in the reviewed material. Route to the owner/president and marketing director.</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A prompt owner-led decision is possible, but US$17,500 may be above its usual event level.</w:t>
            </w:r>
          </w:p>
          <w:p>
            <w:pPr>
              <w:widowControl/>
              <w:spacing w:after="0"/>
            </w:pPr>
            <w:r>
              <w:rPr>
                <w:rFonts w:ascii="Arial" w:hAnsi="Arial"/>
                <w:b/>
                <w:i w:val="0"/>
                <w:color w:val="17324D"/>
                <w:sz w:val="13"/>
              </w:rPr>
              <w:t xml:space="preserve">Sources: </w:t>
            </w:r>
            <w:r>
              <w:rPr>
                <w:rFonts w:ascii="Arial" w:hAnsi="Arial"/>
                <w:b w:val="0"/>
                <w:i w:val="0"/>
                <w:color w:val="2E5F8A"/>
                <w:sz w:val="13"/>
              </w:rPr>
              <w:t>S04, S37</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20. Coldwell Banker Realty — Cape Cod</w:t>
            </w:r>
          </w:p>
          <w:p>
            <w:pPr>
              <w:widowControl/>
              <w:spacing w:after="20"/>
            </w:pPr>
            <w:r>
              <w:rPr>
                <w:rFonts w:ascii="Arial" w:hAnsi="Arial"/>
                <w:b w:val="0"/>
                <w:i/>
                <w:color w:val="66727C"/>
                <w:sz w:val="13"/>
              </w:rPr>
              <w:t>Real estate</w:t>
            </w:r>
          </w:p>
          <w:p>
            <w:pPr>
              <w:widowControl/>
              <w:spacing w:after="0"/>
            </w:pPr>
            <w:r>
              <w:rPr>
                <w:rFonts w:ascii="Arial" w:hAnsi="Arial"/>
                <w:b/>
                <w:i w:val="0"/>
                <w:color w:val="2F6B72"/>
                <w:sz w:val="14"/>
              </w:rPr>
              <w:t>Score 15/25</w:t>
            </w:r>
          </w:p>
          <w:p>
            <w:pPr>
              <w:widowControl/>
              <w:spacing w:after="0"/>
            </w:pPr>
            <w:r>
              <w:rPr>
                <w:rFonts w:ascii="Arial" w:hAnsi="Arial"/>
                <w:b/>
                <w:i w:val="0"/>
                <w:color w:val="2E5F8A"/>
                <w:sz w:val="13"/>
              </w:rPr>
              <w:t>POSSIBLE</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Large brokerage network with numerous Cape agents and strong client-entertainment/recruitment value. Inference: regional marketing and broker engagement.</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current Cape Cod Theatre Company supporter;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Recent Cape theatre support; no CCCC/Tilden relationship was found.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Cape sponsorship holder was not publicly identifiable in this review. Route to the Cape Cod regional vice-president/marketing lead.</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Regional approval may be possible, but national-brand processes can slow a July decision.</w:t>
            </w:r>
          </w:p>
          <w:p>
            <w:pPr>
              <w:widowControl/>
              <w:spacing w:after="0"/>
            </w:pPr>
            <w:r>
              <w:rPr>
                <w:rFonts w:ascii="Arial" w:hAnsi="Arial"/>
                <w:b/>
                <w:i w:val="0"/>
                <w:color w:val="17324D"/>
                <w:sz w:val="13"/>
              </w:rPr>
              <w:t xml:space="preserve">Sources: </w:t>
            </w:r>
            <w:r>
              <w:rPr>
                <w:rFonts w:ascii="Arial" w:hAnsi="Arial"/>
                <w:b w:val="0"/>
                <w:i w:val="0"/>
                <w:color w:val="2E5F8A"/>
                <w:sz w:val="13"/>
              </w:rPr>
              <w:t>S05, S38</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21. Monomoy Real Estate and Construction</w:t>
            </w:r>
          </w:p>
          <w:p>
            <w:pPr>
              <w:widowControl/>
              <w:spacing w:after="20"/>
            </w:pPr>
            <w:r>
              <w:rPr>
                <w:rFonts w:ascii="Arial" w:hAnsi="Arial"/>
                <w:b w:val="0"/>
                <w:i/>
                <w:color w:val="66727C"/>
                <w:sz w:val="13"/>
              </w:rPr>
              <w:t>Real estate / construction</w:t>
            </w:r>
          </w:p>
          <w:p>
            <w:pPr>
              <w:widowControl/>
              <w:spacing w:after="0"/>
            </w:pPr>
            <w:r>
              <w:rPr>
                <w:rFonts w:ascii="Arial" w:hAnsi="Arial"/>
                <w:b/>
                <w:i w:val="0"/>
                <w:color w:val="2F6B72"/>
                <w:sz w:val="14"/>
              </w:rPr>
              <w:t>Score 15/25</w:t>
            </w:r>
          </w:p>
          <w:p>
            <w:pPr>
              <w:widowControl/>
              <w:spacing w:after="0"/>
            </w:pPr>
            <w:r>
              <w:rPr>
                <w:rFonts w:ascii="Arial" w:hAnsi="Arial"/>
                <w:b/>
                <w:i w:val="0"/>
                <w:color w:val="66727C"/>
                <w:sz w:val="13"/>
              </w:rPr>
              <w:t>WARM RESERVE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Cape development and construction firm with an unusually strong venue relationship. Inference: owner-led marketing/client entertainment; the US$17,500 ask may be large relative to an unpublicised sponsorship budget.</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No separate public record of a Cape cash sponsorship in 2023–2026 was located in this review. Evidence of engagement is the managing partner’s current CCCC Foundation Board service.</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Very warm: founder and Managing Partner Justin Blair sits on the CCCC Foundation Board.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Justin Blair, Founder and Managing Partner.</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giving cycle was found. Use as a warm introduction source and reserve prospect; ask directly only if capacity is confirmed.</w:t>
            </w:r>
          </w:p>
          <w:p>
            <w:pPr>
              <w:widowControl/>
              <w:spacing w:after="0"/>
            </w:pPr>
            <w:r>
              <w:rPr>
                <w:rFonts w:ascii="Arial" w:hAnsi="Arial"/>
                <w:b/>
                <w:i w:val="0"/>
                <w:color w:val="17324D"/>
                <w:sz w:val="13"/>
              </w:rPr>
              <w:t xml:space="preserve">Sources: </w:t>
            </w:r>
            <w:r>
              <w:rPr>
                <w:rFonts w:ascii="Arial" w:hAnsi="Arial"/>
                <w:b w:val="0"/>
                <w:i w:val="0"/>
                <w:color w:val="2E5F8A"/>
                <w:sz w:val="13"/>
              </w:rPr>
              <w:t>S02, S39</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22. Glivinski &amp; Associates / Silva Accounting</w:t>
            </w:r>
          </w:p>
          <w:p>
            <w:pPr>
              <w:widowControl/>
              <w:spacing w:after="20"/>
            </w:pPr>
            <w:r>
              <w:rPr>
                <w:rFonts w:ascii="Arial" w:hAnsi="Arial"/>
                <w:b w:val="0"/>
                <w:i/>
                <w:color w:val="66727C"/>
                <w:sz w:val="13"/>
              </w:rPr>
              <w:t>Accountancy</w:t>
            </w:r>
          </w:p>
          <w:p>
            <w:pPr>
              <w:widowControl/>
              <w:spacing w:after="0"/>
            </w:pPr>
            <w:r>
              <w:rPr>
                <w:rFonts w:ascii="Arial" w:hAnsi="Arial"/>
                <w:b/>
                <w:i w:val="0"/>
                <w:color w:val="2F6B72"/>
                <w:sz w:val="14"/>
              </w:rPr>
              <w:t>Score 15/25</w:t>
            </w:r>
          </w:p>
          <w:p>
            <w:pPr>
              <w:widowControl/>
              <w:spacing w:after="0"/>
            </w:pPr>
            <w:r>
              <w:rPr>
                <w:rFonts w:ascii="Arial" w:hAnsi="Arial"/>
                <w:b/>
                <w:i w:val="0"/>
                <w:color w:val="66727C"/>
                <w:sz w:val="13"/>
              </w:rPr>
              <w:t>WARM RESERVE</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Cape accountancy/financial-management firm with nonprofit expertise and a direct Foundation relationship. Inference: marketing/client entertainment; likely more valuable as an introducer than as sole US$17,500 sponsor.</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Silva Accounting appears in the 2026 CCCC golf sponsor panel. Valerie Silva purchased Glivinski &amp; Associates in January 2024 and serves on the CCCC Foundation Finance Committee. The sponsorship amount was not public.</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Very warm: current sponsor plus Foundation Board/committee link.</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Valerie Silva, Owner of Glivinski &amp; Associates.</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Ask first for introductions and only then test direct capacity.</w:t>
            </w:r>
          </w:p>
          <w:p>
            <w:pPr>
              <w:widowControl/>
              <w:spacing w:after="0"/>
            </w:pPr>
            <w:r>
              <w:rPr>
                <w:rFonts w:ascii="Arial" w:hAnsi="Arial"/>
                <w:b/>
                <w:i w:val="0"/>
                <w:color w:val="17324D"/>
                <w:sz w:val="13"/>
              </w:rPr>
              <w:t xml:space="preserve">Sources: </w:t>
            </w:r>
            <w:r>
              <w:rPr>
                <w:rFonts w:ascii="Arial" w:hAnsi="Arial"/>
                <w:b w:val="0"/>
                <w:i w:val="0"/>
                <w:color w:val="2E5F8A"/>
                <w:sz w:val="13"/>
              </w:rPr>
              <w:t>S01, S02, S40</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23. Northeast Advisors / 1620 Capital</w:t>
            </w:r>
          </w:p>
          <w:p>
            <w:pPr>
              <w:widowControl/>
              <w:spacing w:after="20"/>
            </w:pPr>
            <w:r>
              <w:rPr>
                <w:rFonts w:ascii="Arial" w:hAnsi="Arial"/>
                <w:b w:val="0"/>
                <w:i/>
                <w:color w:val="66727C"/>
                <w:sz w:val="13"/>
              </w:rPr>
              <w:t>Real estate / wealth</w:t>
            </w:r>
          </w:p>
          <w:p>
            <w:pPr>
              <w:widowControl/>
              <w:spacing w:after="0"/>
            </w:pPr>
            <w:r>
              <w:rPr>
                <w:rFonts w:ascii="Arial" w:hAnsi="Arial"/>
                <w:b/>
                <w:i w:val="0"/>
                <w:color w:val="2F6B72"/>
                <w:sz w:val="14"/>
              </w:rPr>
              <w:t>Score 14/25</w:t>
            </w:r>
          </w:p>
          <w:p>
            <w:pPr>
              <w:widowControl/>
              <w:spacing w:after="0"/>
            </w:pPr>
            <w:r>
              <w:rPr>
                <w:rFonts w:ascii="Arial" w:hAnsi="Arial"/>
                <w:b/>
                <w:i w:val="0"/>
                <w:color w:val="66727C"/>
                <w:sz w:val="13"/>
              </w:rPr>
              <w:t>WARM RESERVE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Real-estate advisory/development interests, Cape offices and documented personal arts/theatre engagement. Inference: owner-led sponsorship or client entertainment; capacity should be verified rather than assumed.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No separate public Cape cash sponsorship in 2023–2026 was located. The CCCC Foundation biography documents Cape offices, ownership of Borsari Gallery and active support for arts and theatre.</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Very warm: George Vasvatekis is the College Trustee Liaison to the CCCC Foundation.</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George Vasvatekis, President of Northeast Advisors and Managing Partner of 1620 Capital.</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Use as a warm prospect and, especially, as an introduction hub into Cape real estate and arts networks.</w:t>
            </w:r>
          </w:p>
          <w:p>
            <w:pPr>
              <w:widowControl/>
              <w:spacing w:after="0"/>
            </w:pPr>
            <w:r>
              <w:rPr>
                <w:rFonts w:ascii="Arial" w:hAnsi="Arial"/>
                <w:b/>
                <w:i w:val="0"/>
                <w:color w:val="17324D"/>
                <w:sz w:val="13"/>
              </w:rPr>
              <w:t xml:space="preserve">Sources: </w:t>
            </w:r>
            <w:r>
              <w:rPr>
                <w:rFonts w:ascii="Arial" w:hAnsi="Arial"/>
                <w:b w:val="0"/>
                <w:i w:val="0"/>
                <w:color w:val="2E5F8A"/>
                <w:sz w:val="13"/>
              </w:rPr>
              <w:t>S02, S41</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24. Sullivan, Garrity &amp; Donnelly Insurance</w:t>
            </w:r>
          </w:p>
          <w:p>
            <w:pPr>
              <w:widowControl/>
              <w:spacing w:after="20"/>
            </w:pPr>
            <w:r>
              <w:rPr>
                <w:rFonts w:ascii="Arial" w:hAnsi="Arial"/>
                <w:b w:val="0"/>
                <w:i/>
                <w:color w:val="66727C"/>
                <w:sz w:val="13"/>
              </w:rPr>
              <w:t>Insurance</w:t>
            </w:r>
          </w:p>
          <w:p>
            <w:pPr>
              <w:widowControl/>
              <w:spacing w:after="0"/>
            </w:pPr>
            <w:r>
              <w:rPr>
                <w:rFonts w:ascii="Arial" w:hAnsi="Arial"/>
                <w:b/>
                <w:i w:val="0"/>
                <w:color w:val="2F6B72"/>
                <w:sz w:val="14"/>
              </w:rPr>
              <w:t>Score 14/25</w:t>
            </w:r>
          </w:p>
          <w:p>
            <w:pPr>
              <w:widowControl/>
              <w:spacing w:after="0"/>
            </w:pPr>
            <w:r>
              <w:rPr>
                <w:rFonts w:ascii="Arial" w:hAnsi="Arial"/>
                <w:b/>
                <w:i w:val="0"/>
                <w:color w:val="66727C"/>
                <w:sz w:val="13"/>
              </w:rPr>
              <w:t>WARM RESERVE</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Cape insurance brokerage with a long-standing partner directly connected to the Foundation. Inference: client entertainment or owner-led community sponsorship; the amount may require a special allocation.</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No public Cape sponsorship or donation in 2023–2026 was located in this review. The documented evidence is Tom Sullivan’s current CCCC Foundation role and long insurance partnership.</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Very warm through the CCCC Foundation Board.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Tom Sullivan, Partner.</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Ask for introductions first; test direct sponsorship only after confirming appetite and capacity.</w:t>
            </w:r>
          </w:p>
          <w:p>
            <w:pPr>
              <w:widowControl/>
              <w:spacing w:after="0"/>
            </w:pPr>
            <w:r>
              <w:rPr>
                <w:rFonts w:ascii="Arial" w:hAnsi="Arial"/>
                <w:b/>
                <w:i w:val="0"/>
                <w:color w:val="17324D"/>
                <w:sz w:val="13"/>
              </w:rPr>
              <w:t xml:space="preserve">Sources: </w:t>
            </w:r>
            <w:r>
              <w:rPr>
                <w:rFonts w:ascii="Arial" w:hAnsi="Arial"/>
                <w:b w:val="0"/>
                <w:i w:val="0"/>
                <w:color w:val="2E5F8A"/>
                <w:sz w:val="13"/>
              </w:rPr>
              <w:t>S02, S42</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25. Nauset Rental</w:t>
            </w:r>
          </w:p>
          <w:p>
            <w:pPr>
              <w:widowControl/>
              <w:spacing w:after="20"/>
            </w:pPr>
            <w:r>
              <w:rPr>
                <w:rFonts w:ascii="Arial" w:hAnsi="Arial"/>
                <w:b w:val="0"/>
                <w:i/>
                <w:color w:val="66727C"/>
                <w:sz w:val="13"/>
              </w:rPr>
              <w:t>Holiday rental / real estate</w:t>
            </w:r>
          </w:p>
          <w:p>
            <w:pPr>
              <w:widowControl/>
              <w:spacing w:after="0"/>
            </w:pPr>
            <w:r>
              <w:rPr>
                <w:rFonts w:ascii="Arial" w:hAnsi="Arial"/>
                <w:b/>
                <w:i w:val="0"/>
                <w:color w:val="2F6B72"/>
                <w:sz w:val="14"/>
              </w:rPr>
              <w:t>Score 14/25</w:t>
            </w:r>
          </w:p>
          <w:p>
            <w:pPr>
              <w:widowControl/>
              <w:spacing w:after="0"/>
            </w:pPr>
            <w:r>
              <w:rPr>
                <w:rFonts w:ascii="Arial" w:hAnsi="Arial"/>
                <w:b/>
                <w:i w:val="0"/>
                <w:color w:val="66727C"/>
                <w:sz w:val="13"/>
              </w:rPr>
              <w:t>RESERVE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Cape holiday-rental brand with visitor reach and a direct tourism fit. Inference: performance marketing, guest acquisition and partner hospitality.</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current Atlantic White Shark Conservancy corporate/buoy sponsor;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Recent Cape sponsorship behaviour; no CCCC/Tilden relationship was found.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sponsorship decision-holder was not findable in the reviewed public material. Route to ownership and the marketing director.</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Viable only if a discretionary marketing budget can support the full ask.</w:t>
            </w:r>
          </w:p>
          <w:p>
            <w:pPr>
              <w:widowControl/>
              <w:spacing w:after="0"/>
            </w:pPr>
            <w:r>
              <w:rPr>
                <w:rFonts w:ascii="Arial" w:hAnsi="Arial"/>
                <w:b/>
                <w:i w:val="0"/>
                <w:color w:val="17324D"/>
                <w:sz w:val="13"/>
              </w:rPr>
              <w:t xml:space="preserve">Sources: </w:t>
            </w:r>
            <w:r>
              <w:rPr>
                <w:rFonts w:ascii="Arial" w:hAnsi="Arial"/>
                <w:b w:val="0"/>
                <w:i w:val="0"/>
                <w:color w:val="2E5F8A"/>
                <w:sz w:val="13"/>
              </w:rPr>
              <w:t>S08, S43</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26. Provincetown Marina</w:t>
            </w:r>
          </w:p>
          <w:p>
            <w:pPr>
              <w:widowControl/>
              <w:spacing w:after="20"/>
            </w:pPr>
            <w:r>
              <w:rPr>
                <w:rFonts w:ascii="Arial" w:hAnsi="Arial"/>
                <w:b w:val="0"/>
                <w:i/>
                <w:color w:val="66727C"/>
                <w:sz w:val="13"/>
              </w:rPr>
              <w:t>Marine / hospitality</w:t>
            </w:r>
          </w:p>
          <w:p>
            <w:pPr>
              <w:widowControl/>
              <w:spacing w:after="0"/>
            </w:pPr>
            <w:r>
              <w:rPr>
                <w:rFonts w:ascii="Arial" w:hAnsi="Arial"/>
                <w:b/>
                <w:i w:val="0"/>
                <w:color w:val="2F6B72"/>
                <w:sz w:val="14"/>
              </w:rPr>
              <w:t>Score 13/25</w:t>
            </w:r>
          </w:p>
          <w:p>
            <w:pPr>
              <w:widowControl/>
              <w:spacing w:after="0"/>
            </w:pPr>
            <w:r>
              <w:rPr>
                <w:rFonts w:ascii="Arial" w:hAnsi="Arial"/>
                <w:b/>
                <w:i w:val="0"/>
                <w:color w:val="66727C"/>
                <w:sz w:val="13"/>
              </w:rPr>
              <w:t>RESERVE</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Destination marina with affluent boating customers and hospitality/entertainment relevance. Inference: marketing and customer hospitality.</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among current Center for Coastal Studies sponsors;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Recent Cape sponsorship behaviour; no CCCC/Tilden relationship was found.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sponsorship holder was not findable in the reviewed material. Route to the General Manager/ownership office.</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Capacity for the full ask is uncertain; approach after the stronger marine and hospitality prospects.</w:t>
            </w:r>
          </w:p>
          <w:p>
            <w:pPr>
              <w:widowControl/>
              <w:spacing w:after="0"/>
            </w:pPr>
            <w:r>
              <w:rPr>
                <w:rFonts w:ascii="Arial" w:hAnsi="Arial"/>
                <w:b/>
                <w:i w:val="0"/>
                <w:color w:val="17324D"/>
                <w:sz w:val="13"/>
              </w:rPr>
              <w:t xml:space="preserve">Sources: </w:t>
            </w:r>
            <w:r>
              <w:rPr>
                <w:rFonts w:ascii="Arial" w:hAnsi="Arial"/>
                <w:b w:val="0"/>
                <w:i w:val="0"/>
                <w:color w:val="2E5F8A"/>
                <w:sz w:val="13"/>
              </w:rPr>
              <w:t>S06, S44</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27. Dolphin Fleet Whale Watch</w:t>
            </w:r>
          </w:p>
          <w:p>
            <w:pPr>
              <w:widowControl/>
              <w:spacing w:after="20"/>
            </w:pPr>
            <w:r>
              <w:rPr>
                <w:rFonts w:ascii="Arial" w:hAnsi="Arial"/>
                <w:b w:val="0"/>
                <w:i/>
                <w:color w:val="66727C"/>
                <w:sz w:val="13"/>
              </w:rPr>
              <w:t>Marine / tourism</w:t>
            </w:r>
          </w:p>
          <w:p>
            <w:pPr>
              <w:widowControl/>
              <w:spacing w:after="0"/>
            </w:pPr>
            <w:r>
              <w:rPr>
                <w:rFonts w:ascii="Arial" w:hAnsi="Arial"/>
                <w:b/>
                <w:i w:val="0"/>
                <w:color w:val="2F6B72"/>
                <w:sz w:val="14"/>
              </w:rPr>
              <w:t>Score 13/25</w:t>
            </w:r>
          </w:p>
          <w:p>
            <w:pPr>
              <w:widowControl/>
              <w:spacing w:after="0"/>
            </w:pPr>
            <w:r>
              <w:rPr>
                <w:rFonts w:ascii="Arial" w:hAnsi="Arial"/>
                <w:b/>
                <w:i w:val="0"/>
                <w:color w:val="66727C"/>
                <w:sz w:val="13"/>
              </w:rPr>
              <w:t>RESERVE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Established Cape tourism operator with family and visitor audiences. Inference: tourism marketing, employee/partner hospitality or community sponsorship.</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among current Center for Coastal Studies sponsors;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Recent Cape sponsorship behaviour; no CCCC/Tilden relationship was found.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sponsorship decision-holder was not findable in the reviewed public material. Route to ownership/General Manager.</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Full-ask capacity is uncertain and summer operations may limit decision speed.</w:t>
            </w:r>
          </w:p>
          <w:p>
            <w:pPr>
              <w:widowControl/>
              <w:spacing w:after="0"/>
            </w:pPr>
            <w:r>
              <w:rPr>
                <w:rFonts w:ascii="Arial" w:hAnsi="Arial"/>
                <w:b/>
                <w:i w:val="0"/>
                <w:color w:val="17324D"/>
                <w:sz w:val="13"/>
              </w:rPr>
              <w:t xml:space="preserve">Sources: </w:t>
            </w:r>
            <w:r>
              <w:rPr>
                <w:rFonts w:ascii="Arial" w:hAnsi="Arial"/>
                <w:b w:val="0"/>
                <w:i w:val="0"/>
                <w:color w:val="2E5F8A"/>
                <w:sz w:val="13"/>
              </w:rPr>
              <w:t>S06, S45</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28. Bay State Cruise Company</w:t>
            </w:r>
          </w:p>
          <w:p>
            <w:pPr>
              <w:widowControl/>
              <w:spacing w:after="20"/>
            </w:pPr>
            <w:r>
              <w:rPr>
                <w:rFonts w:ascii="Arial" w:hAnsi="Arial"/>
                <w:b w:val="0"/>
                <w:i/>
                <w:color w:val="66727C"/>
                <w:sz w:val="13"/>
              </w:rPr>
              <w:t>Marine / travel</w:t>
            </w:r>
          </w:p>
          <w:p>
            <w:pPr>
              <w:widowControl/>
              <w:spacing w:after="0"/>
            </w:pPr>
            <w:r>
              <w:rPr>
                <w:rFonts w:ascii="Arial" w:hAnsi="Arial"/>
                <w:b/>
                <w:i w:val="0"/>
                <w:color w:val="2F6B72"/>
                <w:sz w:val="14"/>
              </w:rPr>
              <w:t>Score 13/25</w:t>
            </w:r>
          </w:p>
          <w:p>
            <w:pPr>
              <w:widowControl/>
              <w:spacing w:after="0"/>
            </w:pPr>
            <w:r>
              <w:rPr>
                <w:rFonts w:ascii="Arial" w:hAnsi="Arial"/>
                <w:b/>
                <w:i w:val="0"/>
                <w:color w:val="66727C"/>
                <w:sz w:val="13"/>
              </w:rPr>
              <w:t>RESERVE</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Boston–Provincetown passenger service with tourism and corporate-travel relevance. Inference: route marketing, partner hospitality and customer acquisition.</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among current Center for Coastal Studies sponsors;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Recent Cape sponsorship behaviour; no CCCC/Tilden relationship was found.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Cape sponsorship holder was not findable in the reviewed material. Route to the President/General Manager and marketing lead.</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Consider only after local banks, Cape Air and Hy-Line.</w:t>
            </w:r>
          </w:p>
          <w:p>
            <w:pPr>
              <w:widowControl/>
              <w:spacing w:after="0"/>
            </w:pPr>
            <w:r>
              <w:rPr>
                <w:rFonts w:ascii="Arial" w:hAnsi="Arial"/>
                <w:b/>
                <w:i w:val="0"/>
                <w:color w:val="17324D"/>
                <w:sz w:val="13"/>
              </w:rPr>
              <w:t xml:space="preserve">Sources: </w:t>
            </w:r>
            <w:r>
              <w:rPr>
                <w:rFonts w:ascii="Arial" w:hAnsi="Arial"/>
                <w:b w:val="0"/>
                <w:i w:val="0"/>
                <w:color w:val="2E5F8A"/>
                <w:sz w:val="13"/>
              </w:rPr>
              <w:t>S06, S46</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29. Schoolhouse Construction</w:t>
            </w:r>
          </w:p>
          <w:p>
            <w:pPr>
              <w:widowControl/>
              <w:spacing w:after="20"/>
            </w:pPr>
            <w:r>
              <w:rPr>
                <w:rFonts w:ascii="Arial" w:hAnsi="Arial"/>
                <w:b w:val="0"/>
                <w:i/>
                <w:color w:val="66727C"/>
                <w:sz w:val="13"/>
              </w:rPr>
              <w:t>Construction</w:t>
            </w:r>
          </w:p>
          <w:p>
            <w:pPr>
              <w:widowControl/>
              <w:spacing w:after="0"/>
            </w:pPr>
            <w:r>
              <w:rPr>
                <w:rFonts w:ascii="Arial" w:hAnsi="Arial"/>
                <w:b/>
                <w:i w:val="0"/>
                <w:color w:val="2F6B72"/>
                <w:sz w:val="14"/>
              </w:rPr>
              <w:t>Score 12/25</w:t>
            </w:r>
          </w:p>
          <w:p>
            <w:pPr>
              <w:widowControl/>
              <w:spacing w:after="0"/>
            </w:pPr>
            <w:r>
              <w:rPr>
                <w:rFonts w:ascii="Arial" w:hAnsi="Arial"/>
                <w:b/>
                <w:i w:val="0"/>
                <w:color w:val="66727C"/>
                <w:sz w:val="13"/>
              </w:rPr>
              <w:t>RESERVE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Cape construction business with current theatre support. Inference: owner-led community sponsorship and client entertainment, though the full ask may be disproportionate.</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current Cape Cod Theatre Company supporter; amount not publicly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Current Cape theatre support; no CCCC/Tilden relationship was found.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sponsorship decision-holder was not findable in the reviewed material. Route to the owner/president.</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Use as a reserve or introduction prospect, not an early lead.</w:t>
            </w:r>
          </w:p>
          <w:p>
            <w:pPr>
              <w:widowControl/>
              <w:spacing w:after="0"/>
            </w:pPr>
            <w:r>
              <w:rPr>
                <w:rFonts w:ascii="Arial" w:hAnsi="Arial"/>
                <w:b/>
                <w:i w:val="0"/>
                <w:color w:val="17324D"/>
                <w:sz w:val="13"/>
              </w:rPr>
              <w:t xml:space="preserve">Sources: </w:t>
            </w:r>
            <w:r>
              <w:rPr>
                <w:rFonts w:ascii="Arial" w:hAnsi="Arial"/>
                <w:b w:val="0"/>
                <w:i w:val="0"/>
                <w:color w:val="2E5F8A"/>
                <w:sz w:val="13"/>
              </w:rPr>
              <w:t>S05, S47</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30. RogersGray / The Baldwin Group</w:t>
            </w:r>
          </w:p>
          <w:p>
            <w:pPr>
              <w:widowControl/>
              <w:spacing w:after="20"/>
            </w:pPr>
            <w:r>
              <w:rPr>
                <w:rFonts w:ascii="Arial" w:hAnsi="Arial"/>
                <w:b w:val="0"/>
                <w:i/>
                <w:color w:val="66727C"/>
                <w:sz w:val="13"/>
              </w:rPr>
              <w:t>Insurance</w:t>
            </w:r>
          </w:p>
          <w:p>
            <w:pPr>
              <w:widowControl/>
              <w:spacing w:after="0"/>
            </w:pPr>
            <w:r>
              <w:rPr>
                <w:rFonts w:ascii="Arial" w:hAnsi="Arial"/>
                <w:b/>
                <w:i w:val="0"/>
                <w:color w:val="2F6B72"/>
                <w:sz w:val="14"/>
              </w:rPr>
              <w:t>Score 12/25</w:t>
            </w:r>
          </w:p>
          <w:p>
            <w:pPr>
              <w:widowControl/>
              <w:spacing w:after="0"/>
            </w:pPr>
            <w:r>
              <w:rPr>
                <w:rFonts w:ascii="Arial" w:hAnsi="Arial"/>
                <w:b/>
                <w:i w:val="0"/>
                <w:color w:val="66727C"/>
                <w:sz w:val="13"/>
              </w:rPr>
              <w:t>RESERVE</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Large regional insurance brokerage with Cape roots and a client-entertainment rationale. Inference: regional marketing and producer/client hospitality.</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No public Cape arts sponsorship or donation in 2023–2026 was located in this review. The official site confirms the current RogersGray business within The Baldwin Group.</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No direct CCCC/Tilden relationship was located.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Cape sponsorship holder was not publicly identifiable in this review. Route to the regional market president and marketing leadership.</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public cycle was found. A cold approach is weaker than the warm insurance routes above.</w:t>
            </w:r>
          </w:p>
          <w:p>
            <w:pPr>
              <w:widowControl/>
              <w:spacing w:after="0"/>
            </w:pPr>
            <w:r>
              <w:rPr>
                <w:rFonts w:ascii="Arial" w:hAnsi="Arial"/>
                <w:b/>
                <w:i w:val="0"/>
                <w:color w:val="17324D"/>
                <w:sz w:val="13"/>
              </w:rPr>
              <w:t xml:space="preserve">Sources: </w:t>
            </w:r>
            <w:r>
              <w:rPr>
                <w:rFonts w:ascii="Arial" w:hAnsi="Arial"/>
                <w:b w:val="0"/>
                <w:i w:val="0"/>
                <w:color w:val="2E5F8A"/>
                <w:sz w:val="13"/>
              </w:rPr>
              <w:t>S48</w:t>
            </w:r>
          </w:p>
        </w:tc>
      </w:tr>
      <w:tr>
        <w:trPr>
          <w:cantSplit/>
        </w:trPr>
        <w:tc>
          <w:tcPr>
            <w:tcW w:type="dxa" w:w="3585"/>
            <w:shd w:fill="FFFFFF"/>
            <w:tcMar>
              <w:top w:w="55" w:type="dxa"/>
              <w:start w:w="65" w:type="dxa"/>
              <w:bottom w:w="55" w:type="dxa"/>
              <w:end w:w="65" w:type="dxa"/>
            </w:tcMar>
            <w:vAlign w:val="top"/>
          </w:tcPr>
          <w:p>
            <w:pPr>
              <w:widowControl/>
              <w:spacing w:after="20"/>
            </w:pPr>
            <w:r>
              <w:rPr>
                <w:rFonts w:ascii="Arial" w:hAnsi="Arial"/>
                <w:b/>
                <w:i w:val="0"/>
                <w:color w:val="17324D"/>
                <w:sz w:val="16"/>
              </w:rPr>
              <w:t>31. Cape Cod Foundation</w:t>
            </w:r>
          </w:p>
          <w:p>
            <w:pPr>
              <w:widowControl/>
              <w:spacing w:after="20"/>
            </w:pPr>
            <w:r>
              <w:rPr>
                <w:rFonts w:ascii="Arial" w:hAnsi="Arial"/>
                <w:b w:val="0"/>
                <w:i/>
                <w:color w:val="66727C"/>
                <w:sz w:val="13"/>
              </w:rPr>
              <w:t>Foundation</w:t>
            </w:r>
          </w:p>
          <w:p>
            <w:pPr>
              <w:widowControl/>
              <w:spacing w:after="0"/>
            </w:pPr>
            <w:r>
              <w:rPr>
                <w:rFonts w:ascii="Arial" w:hAnsi="Arial"/>
                <w:b/>
                <w:i w:val="0"/>
                <w:color w:val="2F6B72"/>
                <w:sz w:val="14"/>
              </w:rPr>
              <w:t>Score 11/25</w:t>
            </w:r>
          </w:p>
          <w:p>
            <w:pPr>
              <w:widowControl/>
              <w:spacing w:after="0"/>
            </w:pPr>
            <w:r>
              <w:rPr>
                <w:rFonts w:ascii="Arial" w:hAnsi="Arial"/>
                <w:b/>
                <w:i w:val="0"/>
                <w:color w:val="66727C"/>
                <w:sz w:val="13"/>
              </w:rPr>
              <w:t>2027 ROUTE</w:t>
            </w:r>
          </w:p>
        </w:tc>
        <w:tc>
          <w:tcPr>
            <w:tcW w:type="dxa" w:w="3585"/>
            <w:shd w:fill="FFFFFF"/>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The leading Cape community foundation explicitly funds the arts, but it is primarily a grantmaker rather than a commercial event sponsor. Inference: useful for a future programme grant, fiscal-sponsor conversation or introductions—not for the 2026 exclusive sponsorship.</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Listed as a current Cape Playhouse and Cape Cod Theatre Company supporter. Its 2026 grant page says the major Open Door, Catalyst and land-acquisition rounds are closed; Town Fund grants open 4 August and are town-specific. Public support amounts on the arts sponsor pages were not disclosed.</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Strong Cape arts ecosystem connection, but no direct Tilden sponsorship was located.</w:t>
            </w:r>
          </w:p>
        </w:tc>
        <w:tc>
          <w:tcPr>
            <w:tcW w:type="dxa" w:w="3585"/>
            <w:shd w:fill="FFFFFF"/>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Kristin O’Malley, President and Chief Executive Officer; Jeanne Ruckert Lovy, Vice President of Impact, for grant-fit guidance.</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Not a viable source for a mid-July 2026 commitment. Revisit for 2027 after federal tax status is resolved or a fiscal sponsor is secured.</w:t>
            </w:r>
          </w:p>
          <w:p>
            <w:pPr>
              <w:widowControl/>
              <w:spacing w:after="0"/>
            </w:pPr>
            <w:r>
              <w:rPr>
                <w:rFonts w:ascii="Arial" w:hAnsi="Arial"/>
                <w:b/>
                <w:i w:val="0"/>
                <w:color w:val="17324D"/>
                <w:sz w:val="13"/>
              </w:rPr>
              <w:t xml:space="preserve">Sources: </w:t>
            </w:r>
            <w:r>
              <w:rPr>
                <w:rFonts w:ascii="Arial" w:hAnsi="Arial"/>
                <w:b w:val="0"/>
                <w:i w:val="0"/>
                <w:color w:val="2E5F8A"/>
                <w:sz w:val="13"/>
              </w:rPr>
              <w:t>S03, S05, S49, S50</w:t>
            </w:r>
          </w:p>
        </w:tc>
      </w:tr>
      <w:tr>
        <w:trPr>
          <w:cantSplit/>
        </w:trPr>
        <w:tc>
          <w:tcPr>
            <w:tcW w:type="dxa" w:w="3585"/>
            <w:shd w:fill="F4F7F9"/>
            <w:tcMar>
              <w:top w:w="55" w:type="dxa"/>
              <w:start w:w="65" w:type="dxa"/>
              <w:bottom w:w="55" w:type="dxa"/>
              <w:end w:w="65" w:type="dxa"/>
            </w:tcMar>
            <w:vAlign w:val="top"/>
          </w:tcPr>
          <w:p>
            <w:pPr>
              <w:widowControl/>
              <w:spacing w:after="20"/>
            </w:pPr>
            <w:r>
              <w:rPr>
                <w:rFonts w:ascii="Arial" w:hAnsi="Arial"/>
                <w:b/>
                <w:i w:val="0"/>
                <w:color w:val="17324D"/>
                <w:sz w:val="16"/>
              </w:rPr>
              <w:t>32. Eversource</w:t>
            </w:r>
          </w:p>
          <w:p>
            <w:pPr>
              <w:widowControl/>
              <w:spacing w:after="20"/>
            </w:pPr>
            <w:r>
              <w:rPr>
                <w:rFonts w:ascii="Arial" w:hAnsi="Arial"/>
                <w:b w:val="0"/>
                <w:i/>
                <w:color w:val="66727C"/>
                <w:sz w:val="13"/>
              </w:rPr>
              <w:t>Utility / energy</w:t>
            </w:r>
          </w:p>
          <w:p>
            <w:pPr>
              <w:widowControl/>
              <w:spacing w:after="0"/>
            </w:pPr>
            <w:r>
              <w:rPr>
                <w:rFonts w:ascii="Arial" w:hAnsi="Arial"/>
                <w:b/>
                <w:i w:val="0"/>
                <w:color w:val="2F6B72"/>
                <w:sz w:val="14"/>
              </w:rPr>
              <w:t>Score 10/25</w:t>
            </w:r>
          </w:p>
          <w:p>
            <w:pPr>
              <w:widowControl/>
              <w:spacing w:after="0"/>
            </w:pPr>
            <w:r>
              <w:rPr>
                <w:rFonts w:ascii="Arial" w:hAnsi="Arial"/>
                <w:b/>
                <w:i w:val="0"/>
                <w:color w:val="66727C"/>
                <w:sz w:val="13"/>
              </w:rPr>
              <w:t>RESERVE / 2027</w:t>
            </w:r>
          </w:p>
        </w:tc>
        <w:tc>
          <w:tcPr>
            <w:tcW w:type="dxa" w:w="3585"/>
            <w:shd w:fill="F4F7F9"/>
            <w:tcMar>
              <w:top w:w="55" w:type="dxa"/>
              <w:start w:w="65" w:type="dxa"/>
              <w:bottom w:w="55" w:type="dxa"/>
              <w:end w:w="65" w:type="dxa"/>
            </w:tcMar>
            <w:vAlign w:val="top"/>
          </w:tcPr>
          <w:p>
            <w:pPr>
              <w:widowControl/>
              <w:spacing w:after="0" w:line="240" w:lineRule="auto"/>
            </w:pPr>
            <w:r>
              <w:rPr>
                <w:rFonts w:ascii="Arial" w:hAnsi="Arial"/>
                <w:b/>
                <w:i w:val="0"/>
                <w:color w:val="2F6B72"/>
                <w:sz w:val="14"/>
              </w:rPr>
              <w:t xml:space="preserve">Inference: </w:t>
            </w:r>
            <w:r>
              <w:rPr>
                <w:rFonts w:ascii="Arial" w:hAnsi="Arial"/>
                <w:b w:val="0"/>
                <w:i w:val="0"/>
                <w:color w:val="1F2933"/>
                <w:sz w:val="14"/>
              </w:rPr>
              <w:t>Major utility serving Massachusetts with community-support capacity. Inference: community relations or marketing, but utility processes are typically more formal and the arts fit is weaker than for banks or local family businesses.</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Evidence: </w:t>
            </w:r>
            <w:r>
              <w:rPr>
                <w:rFonts w:ascii="Arial" w:hAnsi="Arial"/>
                <w:b w:val="0"/>
                <w:i w:val="0"/>
                <w:color w:val="1F2933"/>
                <w:sz w:val="14"/>
              </w:rPr>
              <w:t>No public Cape arts sponsorship or donation in 2023–2026 was located in the sources reviewed for this report. The official community-support page is the programme starting point.</w:t>
            </w:r>
          </w:p>
          <w:p>
            <w:pPr>
              <w:widowControl/>
              <w:spacing w:after="0" w:line="240" w:lineRule="auto"/>
            </w:pPr>
            <w:r>
              <w:rPr>
                <w:rFonts w:ascii="Arial" w:hAnsi="Arial"/>
                <w:b/>
                <w:i w:val="0"/>
                <w:color w:val="17324D"/>
                <w:sz w:val="14"/>
              </w:rPr>
              <w:t xml:space="preserve">CCCC/Tilden: </w:t>
            </w:r>
            <w:r>
              <w:rPr>
                <w:rFonts w:ascii="Arial" w:hAnsi="Arial"/>
                <w:b w:val="0"/>
                <w:i w:val="0"/>
                <w:color w:val="1F2933"/>
                <w:sz w:val="14"/>
              </w:rPr>
              <w:t>No direct CCCC/Tilden relationship was located.</w:t>
            </w:r>
          </w:p>
        </w:tc>
        <w:tc>
          <w:tcPr>
            <w:tcW w:type="dxa" w:w="3585"/>
            <w:shd w:fill="F4F7F9"/>
            <w:tcMar>
              <w:top w:w="55" w:type="dxa"/>
              <w:start w:w="65" w:type="dxa"/>
              <w:bottom w:w="55" w:type="dxa"/>
              <w:end w:w="65" w:type="dxa"/>
            </w:tcMar>
            <w:vAlign w:val="top"/>
          </w:tcPr>
          <w:p>
            <w:pPr>
              <w:widowControl/>
              <w:spacing w:after="20" w:line="240" w:lineRule="auto"/>
            </w:pPr>
            <w:r>
              <w:rPr>
                <w:rFonts w:ascii="Arial" w:hAnsi="Arial"/>
                <w:b/>
                <w:i w:val="0"/>
                <w:color w:val="17324D"/>
                <w:sz w:val="14"/>
              </w:rPr>
              <w:t xml:space="preserve">Decision route: </w:t>
            </w:r>
            <w:r>
              <w:rPr>
                <w:rFonts w:ascii="Arial" w:hAnsi="Arial"/>
                <w:b w:val="0"/>
                <w:i w:val="0"/>
                <w:color w:val="1F2933"/>
                <w:sz w:val="14"/>
              </w:rPr>
              <w:t>A named Cape sponsorship decision-holder was not findable in the reviewed material. Route to Massachusetts community relations/external affairs.</w:t>
            </w:r>
          </w:p>
          <w:p>
            <w:pPr>
              <w:widowControl/>
              <w:spacing w:after="20" w:line="240" w:lineRule="auto"/>
            </w:pPr>
            <w:r>
              <w:rPr>
                <w:rFonts w:ascii="Arial" w:hAnsi="Arial"/>
                <w:b/>
                <w:i w:val="0"/>
                <w:color w:val="17324D"/>
                <w:sz w:val="14"/>
              </w:rPr>
              <w:t xml:space="preserve">Timing: </w:t>
            </w:r>
            <w:r>
              <w:rPr>
                <w:rFonts w:ascii="Arial" w:hAnsi="Arial"/>
                <w:b w:val="0"/>
                <w:i w:val="0"/>
                <w:color w:val="1F2933"/>
                <w:sz w:val="14"/>
              </w:rPr>
              <w:t>No verified fast 2026 route was found. Treat as a 2027 cultivation prospect unless a senior utility contact can make a direct introduction.</w:t>
            </w:r>
          </w:p>
          <w:p>
            <w:pPr>
              <w:widowControl/>
              <w:spacing w:after="0"/>
            </w:pPr>
            <w:r>
              <w:rPr>
                <w:rFonts w:ascii="Arial" w:hAnsi="Arial"/>
                <w:b/>
                <w:i w:val="0"/>
                <w:color w:val="17324D"/>
                <w:sz w:val="13"/>
              </w:rPr>
              <w:t xml:space="preserve">Sources: </w:t>
            </w:r>
            <w:r>
              <w:rPr>
                <w:rFonts w:ascii="Arial" w:hAnsi="Arial"/>
                <w:b w:val="0"/>
                <w:i w:val="0"/>
                <w:color w:val="2E5F8A"/>
                <w:sz w:val="13"/>
              </w:rPr>
              <w:t>S51</w:t>
            </w:r>
          </w:p>
        </w:tc>
      </w:tr>
    </w:tbl>
    <w:p>
      <w:pPr>
        <w:pStyle w:val="Heading1"/>
        <w:keepNext/>
      </w:pPr>
      <w:r>
        <w:t>4. Timing, application cycles and execution plan</w:t>
      </w:r>
    </w:p>
    <w:p>
      <w:pPr>
        <w:pStyle w:val="Heading2"/>
        <w:keepNext/>
      </w:pPr>
      <w:r>
        <w:t>Cycle findings that affect 2026</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585"/>
        <w:gridCol w:w="3585"/>
        <w:gridCol w:w="3585"/>
        <w:gridCol w:w="3585"/>
      </w:tblGrid>
      <w:tr>
        <w:trPr>
          <w:tblHeader w:val="true"/>
        </w:trPr>
        <w:tc>
          <w:tcPr>
            <w:tcW w:type="dxa" w:w="2951"/>
            <w:shd w:fill="17324D"/>
            <w:tcMar>
              <w:top w:w="65" w:type="dxa"/>
              <w:start w:w="70" w:type="dxa"/>
              <w:bottom w:w="65" w:type="dxa"/>
              <w:end w:w="70" w:type="dxa"/>
            </w:tcMar>
          </w:tcPr>
          <w:p>
            <w:pPr>
              <w:widowControl/>
            </w:pPr>
            <w:r>
              <w:rPr>
                <w:rFonts w:ascii="Arial" w:hAnsi="Arial"/>
                <w:b/>
                <w:i w:val="0"/>
                <w:color w:val="FFFFFF"/>
                <w:sz w:val="16"/>
              </w:rPr>
              <w:t>Organisation</w:t>
            </w:r>
          </w:p>
        </w:tc>
        <w:tc>
          <w:tcPr>
            <w:tcW w:type="dxa" w:w="4320"/>
            <w:shd w:fill="17324D"/>
            <w:tcMar>
              <w:top w:w="65" w:type="dxa"/>
              <w:start w:w="70" w:type="dxa"/>
              <w:bottom w:w="65" w:type="dxa"/>
              <w:end w:w="70" w:type="dxa"/>
            </w:tcMar>
          </w:tcPr>
          <w:p>
            <w:pPr>
              <w:widowControl/>
            </w:pPr>
            <w:r>
              <w:rPr>
                <w:rFonts w:ascii="Arial" w:hAnsi="Arial"/>
                <w:b/>
                <w:i w:val="0"/>
                <w:color w:val="FFFFFF"/>
                <w:sz w:val="16"/>
              </w:rPr>
              <w:t>Published cycle</w:t>
            </w:r>
          </w:p>
        </w:tc>
        <w:tc>
          <w:tcPr>
            <w:tcW w:type="dxa" w:w="5903"/>
            <w:shd w:fill="17324D"/>
            <w:tcMar>
              <w:top w:w="65" w:type="dxa"/>
              <w:start w:w="70" w:type="dxa"/>
              <w:bottom w:w="65" w:type="dxa"/>
              <w:end w:w="70" w:type="dxa"/>
            </w:tcMar>
          </w:tcPr>
          <w:p>
            <w:pPr>
              <w:widowControl/>
            </w:pPr>
            <w:r>
              <w:rPr>
                <w:rFonts w:ascii="Arial" w:hAnsi="Arial"/>
                <w:b/>
                <w:i w:val="0"/>
                <w:color w:val="FFFFFF"/>
                <w:sz w:val="16"/>
              </w:rPr>
              <w:t>2026 consequence</w:t>
            </w:r>
          </w:p>
        </w:tc>
        <w:tc>
          <w:tcPr>
            <w:tcW w:type="dxa" w:w="1007"/>
            <w:shd w:fill="17324D"/>
            <w:tcMar>
              <w:top w:w="65" w:type="dxa"/>
              <w:start w:w="70" w:type="dxa"/>
              <w:bottom w:w="65" w:type="dxa"/>
              <w:end w:w="70" w:type="dxa"/>
            </w:tcMar>
          </w:tcPr>
          <w:p>
            <w:pPr>
              <w:widowControl/>
            </w:pPr>
            <w:r>
              <w:rPr>
                <w:rFonts w:ascii="Arial" w:hAnsi="Arial"/>
                <w:b/>
                <w:i w:val="0"/>
                <w:color w:val="FFFFFF"/>
                <w:sz w:val="16"/>
              </w:rPr>
              <w:t>Src</w:t>
            </w:r>
          </w:p>
        </w:tc>
      </w:tr>
      <w:tr>
        <w:trPr>
          <w:cantSplit/>
        </w:trPr>
        <w:tc>
          <w:tcPr>
            <w:tcW w:type="dxa" w:w="3585"/>
            <w:tcMar>
              <w:top w:w="60" w:type="dxa"/>
              <w:start w:w="70" w:type="dxa"/>
              <w:bottom w:w="60" w:type="dxa"/>
              <w:end w:w="70" w:type="dxa"/>
            </w:tcMar>
          </w:tcPr>
          <w:p>
            <w:pPr>
              <w:widowControl/>
            </w:pPr>
            <w:r>
              <w:rPr>
                <w:rFonts w:ascii="Arial" w:hAnsi="Arial"/>
                <w:b/>
                <w:i w:val="0"/>
                <w:color w:val="1F2933"/>
                <w:sz w:val="15"/>
              </w:rPr>
              <w:t>Cape Cod 5</w:t>
            </w:r>
          </w:p>
        </w:tc>
        <w:tc>
          <w:tcPr>
            <w:tcW w:type="dxa" w:w="3585"/>
            <w:tcMar>
              <w:top w:w="60" w:type="dxa"/>
              <w:start w:w="70" w:type="dxa"/>
              <w:bottom w:w="60" w:type="dxa"/>
              <w:end w:w="70" w:type="dxa"/>
            </w:tcMar>
          </w:tcPr>
          <w:p>
            <w:pPr>
              <w:widowControl/>
            </w:pPr>
            <w:r>
              <w:rPr>
                <w:rFonts w:ascii="Arial" w:hAnsi="Arial"/>
                <w:b w:val="0"/>
                <w:i w:val="0"/>
                <w:color w:val="1F2933"/>
                <w:sz w:val="15"/>
              </w:rPr>
              <w:t>Rolling, but at least two months before funds are needed</w:t>
            </w:r>
          </w:p>
        </w:tc>
        <w:tc>
          <w:tcPr>
            <w:tcW w:type="dxa" w:w="3585"/>
            <w:tcMar>
              <w:top w:w="60" w:type="dxa"/>
              <w:start w:w="70" w:type="dxa"/>
              <w:bottom w:w="60" w:type="dxa"/>
              <w:end w:w="70" w:type="dxa"/>
            </w:tcMar>
          </w:tcPr>
          <w:p>
            <w:pPr>
              <w:widowControl/>
            </w:pPr>
            <w:r>
              <w:rPr>
                <w:rFonts w:ascii="Arial" w:hAnsi="Arial"/>
                <w:b w:val="0"/>
                <w:i w:val="0"/>
                <w:color w:val="1F2933"/>
                <w:sz w:val="15"/>
              </w:rPr>
              <w:t>Normal route missed; seek executive exception</w:t>
            </w:r>
          </w:p>
        </w:tc>
        <w:tc>
          <w:tcPr>
            <w:tcW w:type="dxa" w:w="3585"/>
            <w:tcMar>
              <w:top w:w="60" w:type="dxa"/>
              <w:start w:w="70" w:type="dxa"/>
              <w:bottom w:w="60" w:type="dxa"/>
              <w:end w:w="70" w:type="dxa"/>
            </w:tcMar>
          </w:tcPr>
          <w:p>
            <w:pPr>
              <w:widowControl/>
            </w:pPr>
            <w:r>
              <w:rPr>
                <w:rFonts w:ascii="Arial" w:hAnsi="Arial"/>
                <w:b w:val="0"/>
                <w:i w:val="0"/>
                <w:color w:val="2E5F8A"/>
                <w:sz w:val="15"/>
              </w:rPr>
              <w:t>S09</w:t>
            </w:r>
          </w:p>
        </w:tc>
      </w:tr>
      <w:tr>
        <w:trPr>
          <w:cantSplit/>
        </w:trPr>
        <w:tc>
          <w:tcPr>
            <w:tcW w:type="dxa" w:w="3585"/>
            <w:tcMar>
              <w:top w:w="60" w:type="dxa"/>
              <w:start w:w="70" w:type="dxa"/>
              <w:bottom w:w="60" w:type="dxa"/>
              <w:end w:w="70" w:type="dxa"/>
            </w:tcMar>
          </w:tcPr>
          <w:p>
            <w:pPr>
              <w:widowControl/>
            </w:pPr>
            <w:r>
              <w:rPr>
                <w:rFonts w:ascii="Arial" w:hAnsi="Arial"/>
                <w:b/>
                <w:i w:val="0"/>
                <w:color w:val="1F2933"/>
                <w:sz w:val="15"/>
              </w:rPr>
              <w:t>Rockland Trust</w:t>
            </w:r>
          </w:p>
        </w:tc>
        <w:tc>
          <w:tcPr>
            <w:tcW w:type="dxa" w:w="3585"/>
            <w:tcMar>
              <w:top w:w="60" w:type="dxa"/>
              <w:start w:w="70" w:type="dxa"/>
              <w:bottom w:w="60" w:type="dxa"/>
              <w:end w:w="70" w:type="dxa"/>
            </w:tcMar>
          </w:tcPr>
          <w:p>
            <w:pPr>
              <w:widowControl/>
            </w:pPr>
            <w:r>
              <w:rPr>
                <w:rFonts w:ascii="Arial" w:hAnsi="Arial"/>
                <w:b w:val="0"/>
                <w:i w:val="0"/>
                <w:color w:val="1F2933"/>
                <w:sz w:val="15"/>
              </w:rPr>
              <w:t>Six–eight weeks for event sponsorships; eight–twelve weeks for grants</w:t>
            </w:r>
          </w:p>
        </w:tc>
        <w:tc>
          <w:tcPr>
            <w:tcW w:type="dxa" w:w="3585"/>
            <w:tcMar>
              <w:top w:w="60" w:type="dxa"/>
              <w:start w:w="70" w:type="dxa"/>
              <w:bottom w:w="60" w:type="dxa"/>
              <w:end w:w="70" w:type="dxa"/>
            </w:tcMar>
          </w:tcPr>
          <w:p>
            <w:pPr>
              <w:widowControl/>
            </w:pPr>
            <w:r>
              <w:rPr>
                <w:rFonts w:ascii="Arial" w:hAnsi="Arial"/>
                <w:b w:val="0"/>
                <w:i w:val="0"/>
                <w:color w:val="1F2933"/>
                <w:sz w:val="15"/>
              </w:rPr>
              <w:t>Normal route is too slow</w:t>
            </w:r>
          </w:p>
        </w:tc>
        <w:tc>
          <w:tcPr>
            <w:tcW w:type="dxa" w:w="3585"/>
            <w:tcMar>
              <w:top w:w="60" w:type="dxa"/>
              <w:start w:w="70" w:type="dxa"/>
              <w:bottom w:w="60" w:type="dxa"/>
              <w:end w:w="70" w:type="dxa"/>
            </w:tcMar>
          </w:tcPr>
          <w:p>
            <w:pPr>
              <w:widowControl/>
            </w:pPr>
            <w:r>
              <w:rPr>
                <w:rFonts w:ascii="Arial" w:hAnsi="Arial"/>
                <w:b w:val="0"/>
                <w:i w:val="0"/>
                <w:color w:val="2E5F8A"/>
                <w:sz w:val="15"/>
              </w:rPr>
              <w:t>S13</w:t>
            </w:r>
          </w:p>
        </w:tc>
      </w:tr>
      <w:tr>
        <w:trPr>
          <w:cantSplit/>
        </w:trPr>
        <w:tc>
          <w:tcPr>
            <w:tcW w:type="dxa" w:w="3585"/>
            <w:tcMar>
              <w:top w:w="60" w:type="dxa"/>
              <w:start w:w="70" w:type="dxa"/>
              <w:bottom w:w="60" w:type="dxa"/>
              <w:end w:w="70" w:type="dxa"/>
            </w:tcMar>
          </w:tcPr>
          <w:p>
            <w:pPr>
              <w:widowControl/>
            </w:pPr>
            <w:r>
              <w:rPr>
                <w:rFonts w:ascii="Arial" w:hAnsi="Arial"/>
                <w:b/>
                <w:i w:val="0"/>
                <w:color w:val="1F2933"/>
                <w:sz w:val="15"/>
              </w:rPr>
              <w:t>Eastern Bank</w:t>
            </w:r>
          </w:p>
        </w:tc>
        <w:tc>
          <w:tcPr>
            <w:tcW w:type="dxa" w:w="3585"/>
            <w:tcMar>
              <w:top w:w="60" w:type="dxa"/>
              <w:start w:w="70" w:type="dxa"/>
              <w:bottom w:w="60" w:type="dxa"/>
              <w:end w:w="70" w:type="dxa"/>
            </w:tcMar>
          </w:tcPr>
          <w:p>
            <w:pPr>
              <w:widowControl/>
            </w:pPr>
            <w:r>
              <w:rPr>
                <w:rFonts w:ascii="Arial" w:hAnsi="Arial"/>
                <w:b w:val="0"/>
                <w:i w:val="0"/>
                <w:color w:val="1F2933"/>
                <w:sz w:val="15"/>
              </w:rPr>
              <w:t>Rolling; generally about 60 days; standard community donations generally US$1,000–US$10,000</w:t>
            </w:r>
          </w:p>
        </w:tc>
        <w:tc>
          <w:tcPr>
            <w:tcW w:type="dxa" w:w="3585"/>
            <w:tcMar>
              <w:top w:w="60" w:type="dxa"/>
              <w:start w:w="70" w:type="dxa"/>
              <w:bottom w:w="60" w:type="dxa"/>
              <w:end w:w="70" w:type="dxa"/>
            </w:tcMar>
          </w:tcPr>
          <w:p>
            <w:pPr>
              <w:widowControl/>
            </w:pPr>
            <w:r>
              <w:rPr>
                <w:rFonts w:ascii="Arial" w:hAnsi="Arial"/>
                <w:b w:val="0"/>
                <w:i w:val="0"/>
                <w:color w:val="1F2933"/>
                <w:sz w:val="15"/>
              </w:rPr>
              <w:t>Too slow and below ask unless marketing exception</w:t>
            </w:r>
          </w:p>
        </w:tc>
        <w:tc>
          <w:tcPr>
            <w:tcW w:type="dxa" w:w="3585"/>
            <w:tcMar>
              <w:top w:w="60" w:type="dxa"/>
              <w:start w:w="70" w:type="dxa"/>
              <w:bottom w:w="60" w:type="dxa"/>
              <w:end w:w="70" w:type="dxa"/>
            </w:tcMar>
          </w:tcPr>
          <w:p>
            <w:pPr>
              <w:widowControl/>
            </w:pPr>
            <w:r>
              <w:rPr>
                <w:rFonts w:ascii="Arial" w:hAnsi="Arial"/>
                <w:b w:val="0"/>
                <w:i w:val="0"/>
                <w:color w:val="2E5F8A"/>
                <w:sz w:val="15"/>
              </w:rPr>
              <w:t>S25</w:t>
            </w:r>
          </w:p>
        </w:tc>
      </w:tr>
      <w:tr>
        <w:trPr>
          <w:cantSplit/>
        </w:trPr>
        <w:tc>
          <w:tcPr>
            <w:tcW w:type="dxa" w:w="3585"/>
            <w:tcMar>
              <w:top w:w="60" w:type="dxa"/>
              <w:start w:w="70" w:type="dxa"/>
              <w:bottom w:w="60" w:type="dxa"/>
              <w:end w:w="70" w:type="dxa"/>
            </w:tcMar>
          </w:tcPr>
          <w:p>
            <w:pPr>
              <w:widowControl/>
            </w:pPr>
            <w:r>
              <w:rPr>
                <w:rFonts w:ascii="Arial" w:hAnsi="Arial"/>
                <w:b/>
                <w:i w:val="0"/>
                <w:color w:val="1F2933"/>
                <w:sz w:val="15"/>
              </w:rPr>
              <w:t>Davenport Arts Foundation</w:t>
            </w:r>
          </w:p>
        </w:tc>
        <w:tc>
          <w:tcPr>
            <w:tcW w:type="dxa" w:w="3585"/>
            <w:tcMar>
              <w:top w:w="60" w:type="dxa"/>
              <w:start w:w="70" w:type="dxa"/>
              <w:bottom w:w="60" w:type="dxa"/>
              <w:end w:w="70" w:type="dxa"/>
            </w:tcMar>
          </w:tcPr>
          <w:p>
            <w:pPr>
              <w:widowControl/>
            </w:pPr>
            <w:r>
              <w:rPr>
                <w:rFonts w:ascii="Arial" w:hAnsi="Arial"/>
                <w:b w:val="0"/>
                <w:i w:val="0"/>
                <w:color w:val="1F2933"/>
                <w:sz w:val="15"/>
              </w:rPr>
              <w:t>15 May; reviewed in spring</w:t>
            </w:r>
          </w:p>
        </w:tc>
        <w:tc>
          <w:tcPr>
            <w:tcW w:type="dxa" w:w="3585"/>
            <w:tcMar>
              <w:top w:w="60" w:type="dxa"/>
              <w:start w:w="70" w:type="dxa"/>
              <w:bottom w:w="60" w:type="dxa"/>
              <w:end w:w="70" w:type="dxa"/>
            </w:tcMar>
          </w:tcPr>
          <w:p>
            <w:pPr>
              <w:widowControl/>
            </w:pPr>
            <w:r>
              <w:rPr>
                <w:rFonts w:ascii="Arial" w:hAnsi="Arial"/>
                <w:b w:val="0"/>
                <w:i w:val="0"/>
                <w:color w:val="1F2933"/>
                <w:sz w:val="15"/>
              </w:rPr>
              <w:t>Closed for 2026</w:t>
            </w:r>
          </w:p>
        </w:tc>
        <w:tc>
          <w:tcPr>
            <w:tcW w:type="dxa" w:w="3585"/>
            <w:tcMar>
              <w:top w:w="60" w:type="dxa"/>
              <w:start w:w="70" w:type="dxa"/>
              <w:bottom w:w="60" w:type="dxa"/>
              <w:end w:w="70" w:type="dxa"/>
            </w:tcMar>
          </w:tcPr>
          <w:p>
            <w:pPr>
              <w:widowControl/>
            </w:pPr>
            <w:r>
              <w:rPr>
                <w:rFonts w:ascii="Arial" w:hAnsi="Arial"/>
                <w:b w:val="0"/>
                <w:i w:val="0"/>
                <w:color w:val="2E5F8A"/>
                <w:sz w:val="15"/>
              </w:rPr>
              <w:t>S21</w:t>
            </w:r>
          </w:p>
        </w:tc>
      </w:tr>
      <w:tr>
        <w:trPr>
          <w:cantSplit/>
        </w:trPr>
        <w:tc>
          <w:tcPr>
            <w:tcW w:type="dxa" w:w="3585"/>
            <w:tcMar>
              <w:top w:w="60" w:type="dxa"/>
              <w:start w:w="70" w:type="dxa"/>
              <w:bottom w:w="60" w:type="dxa"/>
              <w:end w:w="70" w:type="dxa"/>
            </w:tcMar>
          </w:tcPr>
          <w:p>
            <w:pPr>
              <w:widowControl/>
            </w:pPr>
            <w:r>
              <w:rPr>
                <w:rFonts w:ascii="Arial" w:hAnsi="Arial"/>
                <w:b/>
                <w:i w:val="0"/>
                <w:color w:val="1F2933"/>
                <w:sz w:val="15"/>
              </w:rPr>
              <w:t>Davenport corporate donation committee</w:t>
            </w:r>
          </w:p>
        </w:tc>
        <w:tc>
          <w:tcPr>
            <w:tcW w:type="dxa" w:w="3585"/>
            <w:tcMar>
              <w:top w:w="60" w:type="dxa"/>
              <w:start w:w="70" w:type="dxa"/>
              <w:bottom w:w="60" w:type="dxa"/>
              <w:end w:w="70" w:type="dxa"/>
            </w:tcMar>
          </w:tcPr>
          <w:p>
            <w:pPr>
              <w:widowControl/>
            </w:pPr>
            <w:r>
              <w:rPr>
                <w:rFonts w:ascii="Arial" w:hAnsi="Arial"/>
                <w:b w:val="0"/>
                <w:i w:val="0"/>
                <w:color w:val="1F2933"/>
                <w:sz w:val="15"/>
              </w:rPr>
              <w:t>Meets in June and December</w:t>
            </w:r>
          </w:p>
        </w:tc>
        <w:tc>
          <w:tcPr>
            <w:tcW w:type="dxa" w:w="3585"/>
            <w:tcMar>
              <w:top w:w="60" w:type="dxa"/>
              <w:start w:w="70" w:type="dxa"/>
              <w:bottom w:w="60" w:type="dxa"/>
              <w:end w:w="70" w:type="dxa"/>
            </w:tcMar>
          </w:tcPr>
          <w:p>
            <w:pPr>
              <w:widowControl/>
            </w:pPr>
            <w:r>
              <w:rPr>
                <w:rFonts w:ascii="Arial" w:hAnsi="Arial"/>
                <w:b w:val="0"/>
                <w:i w:val="0"/>
                <w:color w:val="1F2933"/>
                <w:sz w:val="15"/>
              </w:rPr>
              <w:t>June passed; December too late</w:t>
            </w:r>
          </w:p>
        </w:tc>
        <w:tc>
          <w:tcPr>
            <w:tcW w:type="dxa" w:w="3585"/>
            <w:tcMar>
              <w:top w:w="60" w:type="dxa"/>
              <w:start w:w="70" w:type="dxa"/>
              <w:bottom w:w="60" w:type="dxa"/>
              <w:end w:w="70" w:type="dxa"/>
            </w:tcMar>
          </w:tcPr>
          <w:p>
            <w:pPr>
              <w:widowControl/>
            </w:pPr>
            <w:r>
              <w:rPr>
                <w:rFonts w:ascii="Arial" w:hAnsi="Arial"/>
                <w:b w:val="0"/>
                <w:i w:val="0"/>
                <w:color w:val="2E5F8A"/>
                <w:sz w:val="15"/>
              </w:rPr>
              <w:t>S21</w:t>
            </w:r>
          </w:p>
        </w:tc>
      </w:tr>
      <w:tr>
        <w:trPr>
          <w:cantSplit/>
        </w:trPr>
        <w:tc>
          <w:tcPr>
            <w:tcW w:type="dxa" w:w="3585"/>
            <w:tcMar>
              <w:top w:w="60" w:type="dxa"/>
              <w:start w:w="70" w:type="dxa"/>
              <w:bottom w:w="60" w:type="dxa"/>
              <w:end w:w="70" w:type="dxa"/>
            </w:tcMar>
          </w:tcPr>
          <w:p>
            <w:pPr>
              <w:widowControl/>
            </w:pPr>
            <w:r>
              <w:rPr>
                <w:rFonts w:ascii="Arial" w:hAnsi="Arial"/>
                <w:b/>
                <w:i w:val="0"/>
                <w:color w:val="1F2933"/>
                <w:sz w:val="15"/>
              </w:rPr>
              <w:t>Palmer &amp; Jane D. Davenport Foundation</w:t>
            </w:r>
          </w:p>
        </w:tc>
        <w:tc>
          <w:tcPr>
            <w:tcW w:type="dxa" w:w="3585"/>
            <w:tcMar>
              <w:top w:w="60" w:type="dxa"/>
              <w:start w:w="70" w:type="dxa"/>
              <w:bottom w:w="60" w:type="dxa"/>
              <w:end w:w="70" w:type="dxa"/>
            </w:tcMar>
          </w:tcPr>
          <w:p>
            <w:pPr>
              <w:widowControl/>
            </w:pPr>
            <w:r>
              <w:rPr>
                <w:rFonts w:ascii="Arial" w:hAnsi="Arial"/>
                <w:b w:val="0"/>
                <w:i w:val="0"/>
                <w:color w:val="1F2933"/>
                <w:sz w:val="15"/>
              </w:rPr>
              <w:t>15 November; reviewed in autumn</w:t>
            </w:r>
          </w:p>
        </w:tc>
        <w:tc>
          <w:tcPr>
            <w:tcW w:type="dxa" w:w="3585"/>
            <w:tcMar>
              <w:top w:w="60" w:type="dxa"/>
              <w:start w:w="70" w:type="dxa"/>
              <w:bottom w:w="60" w:type="dxa"/>
              <w:end w:w="70" w:type="dxa"/>
            </w:tcMar>
          </w:tcPr>
          <w:p>
            <w:pPr>
              <w:widowControl/>
            </w:pPr>
            <w:r>
              <w:rPr>
                <w:rFonts w:ascii="Arial" w:hAnsi="Arial"/>
                <w:b w:val="0"/>
                <w:i w:val="0"/>
                <w:color w:val="1F2933"/>
                <w:sz w:val="15"/>
              </w:rPr>
              <w:t>Not relevant to August 2026</w:t>
            </w:r>
          </w:p>
        </w:tc>
        <w:tc>
          <w:tcPr>
            <w:tcW w:type="dxa" w:w="3585"/>
            <w:tcMar>
              <w:top w:w="60" w:type="dxa"/>
              <w:start w:w="70" w:type="dxa"/>
              <w:bottom w:w="60" w:type="dxa"/>
              <w:end w:w="70" w:type="dxa"/>
            </w:tcMar>
          </w:tcPr>
          <w:p>
            <w:pPr>
              <w:widowControl/>
            </w:pPr>
            <w:r>
              <w:rPr>
                <w:rFonts w:ascii="Arial" w:hAnsi="Arial"/>
                <w:b w:val="0"/>
                <w:i w:val="0"/>
                <w:color w:val="2E5F8A"/>
                <w:sz w:val="15"/>
              </w:rPr>
              <w:t>S21</w:t>
            </w:r>
          </w:p>
        </w:tc>
      </w:tr>
      <w:tr>
        <w:trPr>
          <w:cantSplit/>
        </w:trPr>
        <w:tc>
          <w:tcPr>
            <w:tcW w:type="dxa" w:w="3585"/>
            <w:tcMar>
              <w:top w:w="60" w:type="dxa"/>
              <w:start w:w="70" w:type="dxa"/>
              <w:bottom w:w="60" w:type="dxa"/>
              <w:end w:w="70" w:type="dxa"/>
            </w:tcMar>
          </w:tcPr>
          <w:p>
            <w:pPr>
              <w:widowControl/>
            </w:pPr>
            <w:r>
              <w:rPr>
                <w:rFonts w:ascii="Arial" w:hAnsi="Arial"/>
                <w:b/>
                <w:i w:val="0"/>
                <w:color w:val="1F2933"/>
                <w:sz w:val="15"/>
              </w:rPr>
              <w:t>Cape Cod Foundation</w:t>
            </w:r>
          </w:p>
        </w:tc>
        <w:tc>
          <w:tcPr>
            <w:tcW w:type="dxa" w:w="3585"/>
            <w:tcMar>
              <w:top w:w="60" w:type="dxa"/>
              <w:start w:w="70" w:type="dxa"/>
              <w:bottom w:w="60" w:type="dxa"/>
              <w:end w:w="70" w:type="dxa"/>
            </w:tcMar>
          </w:tcPr>
          <w:p>
            <w:pPr>
              <w:widowControl/>
            </w:pPr>
            <w:r>
              <w:rPr>
                <w:rFonts w:ascii="Arial" w:hAnsi="Arial"/>
                <w:b w:val="0"/>
                <w:i w:val="0"/>
                <w:color w:val="1F2933"/>
                <w:sz w:val="15"/>
              </w:rPr>
              <w:t>Most 2026 rounds closed; Town Fund opens 4 August with September deadlines</w:t>
            </w:r>
          </w:p>
        </w:tc>
        <w:tc>
          <w:tcPr>
            <w:tcW w:type="dxa" w:w="3585"/>
            <w:tcMar>
              <w:top w:w="60" w:type="dxa"/>
              <w:start w:w="70" w:type="dxa"/>
              <w:bottom w:w="60" w:type="dxa"/>
              <w:end w:w="70" w:type="dxa"/>
            </w:tcMar>
          </w:tcPr>
          <w:p>
            <w:pPr>
              <w:widowControl/>
            </w:pPr>
            <w:r>
              <w:rPr>
                <w:rFonts w:ascii="Arial" w:hAnsi="Arial"/>
                <w:b w:val="0"/>
                <w:i w:val="0"/>
                <w:color w:val="1F2933"/>
                <w:sz w:val="15"/>
              </w:rPr>
              <w:t>Not a mid-July source; cultivate for 2027</w:t>
            </w:r>
          </w:p>
        </w:tc>
        <w:tc>
          <w:tcPr>
            <w:tcW w:type="dxa" w:w="3585"/>
            <w:tcMar>
              <w:top w:w="60" w:type="dxa"/>
              <w:start w:w="70" w:type="dxa"/>
              <w:bottom w:w="60" w:type="dxa"/>
              <w:end w:w="70" w:type="dxa"/>
            </w:tcMar>
          </w:tcPr>
          <w:p>
            <w:pPr>
              <w:widowControl/>
            </w:pPr>
            <w:r>
              <w:rPr>
                <w:rFonts w:ascii="Arial" w:hAnsi="Arial"/>
                <w:b w:val="0"/>
                <w:i w:val="0"/>
                <w:color w:val="2E5F8A"/>
                <w:sz w:val="15"/>
              </w:rPr>
              <w:t>S49</w:t>
            </w:r>
          </w:p>
        </w:tc>
      </w:tr>
    </w:tbl>
    <w:p>
      <w:pPr>
        <w:pStyle w:val="Heading2"/>
        <w:keepNext/>
      </w:pPr>
      <w:r>
        <w:t>A 72-hour outreach sequence</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7171"/>
        <w:gridCol w:w="7171"/>
      </w:tblGrid>
      <w:tr>
        <w:trPr>
          <w:cantSplit/>
        </w:trPr>
        <w:tc>
          <w:tcPr>
            <w:tcW w:type="dxa" w:w="1800"/>
            <w:shd w:fill="DDEAF2"/>
            <w:tcMar>
              <w:top w:w="80" w:type="dxa"/>
              <w:start w:w="85" w:type="dxa"/>
              <w:bottom w:w="80" w:type="dxa"/>
              <w:end w:w="85" w:type="dxa"/>
            </w:tcMar>
          </w:tcPr>
          <w:p>
            <w:pPr>
              <w:widowControl/>
            </w:pPr>
            <w:r>
              <w:rPr>
                <w:rFonts w:ascii="Arial" w:hAnsi="Arial"/>
                <w:b/>
                <w:i w:val="0"/>
                <w:color w:val="17324D"/>
                <w:sz w:val="16"/>
              </w:rPr>
              <w:t>Hour 0–6</w:t>
            </w:r>
          </w:p>
        </w:tc>
        <w:tc>
          <w:tcPr>
            <w:tcW w:type="dxa" w:w="12527"/>
            <w:tcMar>
              <w:top w:w="80" w:type="dxa"/>
              <w:start w:w="90" w:type="dxa"/>
              <w:bottom w:w="80" w:type="dxa"/>
              <w:end w:w="90" w:type="dxa"/>
            </w:tcMar>
          </w:tcPr>
          <w:p>
            <w:pPr>
              <w:widowControl/>
            </w:pPr>
            <w:r>
              <w:rPr>
                <w:rFonts w:ascii="Arial" w:hAnsi="Arial"/>
                <w:b w:val="0"/>
                <w:i w:val="0"/>
                <w:color w:val="1F2933"/>
                <w:sz w:val="16"/>
              </w:rPr>
              <w:t>Secure warm introductions to Cape &amp; Coast Bank, Cape Cod 5, Cape Air, Tighe &amp; Bond and Rockland Trust. Use CCCC Foundation relationships wherever possible.</w:t>
            </w:r>
          </w:p>
        </w:tc>
      </w:tr>
      <w:tr>
        <w:trPr>
          <w:cantSplit/>
        </w:trPr>
        <w:tc>
          <w:tcPr>
            <w:tcW w:type="dxa" w:w="1800"/>
            <w:shd w:fill="DDEAF2"/>
            <w:tcMar>
              <w:top w:w="80" w:type="dxa"/>
              <w:start w:w="85" w:type="dxa"/>
              <w:bottom w:w="80" w:type="dxa"/>
              <w:end w:w="85" w:type="dxa"/>
            </w:tcMar>
          </w:tcPr>
          <w:p>
            <w:pPr>
              <w:widowControl/>
            </w:pPr>
            <w:r>
              <w:rPr>
                <w:rFonts w:ascii="Arial" w:hAnsi="Arial"/>
                <w:b/>
                <w:i w:val="0"/>
                <w:color w:val="17324D"/>
                <w:sz w:val="16"/>
              </w:rPr>
              <w:t>Hour 0–12</w:t>
            </w:r>
          </w:p>
        </w:tc>
        <w:tc>
          <w:tcPr>
            <w:tcW w:type="dxa" w:w="12527"/>
            <w:tcMar>
              <w:top w:w="80" w:type="dxa"/>
              <w:start w:w="90" w:type="dxa"/>
              <w:bottom w:w="80" w:type="dxa"/>
              <w:end w:w="90" w:type="dxa"/>
            </w:tcMar>
          </w:tcPr>
          <w:p>
            <w:pPr>
              <w:widowControl/>
            </w:pPr>
            <w:r>
              <w:rPr>
                <w:rFonts w:ascii="Arial" w:hAnsi="Arial"/>
                <w:b w:val="0"/>
                <w:i w:val="0"/>
                <w:color w:val="1F2933"/>
                <w:sz w:val="16"/>
              </w:rPr>
              <w:t>Send a one-page commercial sponsorship memorandum: confirmed venue/date, audience, media/marketing plan, exact deliverables, hospitality logistics, payment deadline and one-sponsor exclusivity.</w:t>
            </w:r>
          </w:p>
        </w:tc>
      </w:tr>
      <w:tr>
        <w:trPr>
          <w:cantSplit/>
        </w:trPr>
        <w:tc>
          <w:tcPr>
            <w:tcW w:type="dxa" w:w="1800"/>
            <w:shd w:fill="DDEAF2"/>
            <w:tcMar>
              <w:top w:w="80" w:type="dxa"/>
              <w:start w:w="85" w:type="dxa"/>
              <w:bottom w:w="80" w:type="dxa"/>
              <w:end w:w="85" w:type="dxa"/>
            </w:tcMar>
          </w:tcPr>
          <w:p>
            <w:pPr>
              <w:widowControl/>
            </w:pPr>
            <w:r>
              <w:rPr>
                <w:rFonts w:ascii="Arial" w:hAnsi="Arial"/>
                <w:b/>
                <w:i w:val="0"/>
                <w:color w:val="17324D"/>
                <w:sz w:val="16"/>
              </w:rPr>
              <w:t>Day 1</w:t>
            </w:r>
          </w:p>
        </w:tc>
        <w:tc>
          <w:tcPr>
            <w:tcW w:type="dxa" w:w="12527"/>
            <w:tcMar>
              <w:top w:w="80" w:type="dxa"/>
              <w:start w:w="90" w:type="dxa"/>
              <w:bottom w:w="80" w:type="dxa"/>
              <w:end w:w="90" w:type="dxa"/>
            </w:tcMar>
          </w:tcPr>
          <w:p>
            <w:pPr>
              <w:widowControl/>
            </w:pPr>
            <w:r>
              <w:rPr>
                <w:rFonts w:ascii="Arial" w:hAnsi="Arial"/>
                <w:b w:val="0"/>
                <w:i w:val="0"/>
                <w:color w:val="1F2933"/>
                <w:sz w:val="16"/>
              </w:rPr>
              <w:t>Hold 20-minute decision calls. Ask who controls marketing/community/client-entertainment spend and whether a discretionary exception can be approved this week.</w:t>
            </w:r>
          </w:p>
        </w:tc>
      </w:tr>
      <w:tr>
        <w:trPr>
          <w:cantSplit/>
        </w:trPr>
        <w:tc>
          <w:tcPr>
            <w:tcW w:type="dxa" w:w="1800"/>
            <w:shd w:fill="DDEAF2"/>
            <w:tcMar>
              <w:top w:w="80" w:type="dxa"/>
              <w:start w:w="85" w:type="dxa"/>
              <w:bottom w:w="80" w:type="dxa"/>
              <w:end w:w="85" w:type="dxa"/>
            </w:tcMar>
          </w:tcPr>
          <w:p>
            <w:pPr>
              <w:widowControl/>
            </w:pPr>
            <w:r>
              <w:rPr>
                <w:rFonts w:ascii="Arial" w:hAnsi="Arial"/>
                <w:b/>
                <w:i w:val="0"/>
                <w:color w:val="17324D"/>
                <w:sz w:val="16"/>
              </w:rPr>
              <w:t>Day 2</w:t>
            </w:r>
          </w:p>
        </w:tc>
        <w:tc>
          <w:tcPr>
            <w:tcW w:type="dxa" w:w="12527"/>
            <w:tcMar>
              <w:top w:w="80" w:type="dxa"/>
              <w:start w:w="90" w:type="dxa"/>
              <w:bottom w:w="80" w:type="dxa"/>
              <w:end w:w="90" w:type="dxa"/>
            </w:tcMar>
          </w:tcPr>
          <w:p>
            <w:pPr>
              <w:widowControl/>
            </w:pPr>
            <w:r>
              <w:rPr>
                <w:rFonts w:ascii="Arial" w:hAnsi="Arial"/>
                <w:b w:val="0"/>
                <w:i w:val="0"/>
                <w:color w:val="1F2933"/>
                <w:sz w:val="16"/>
              </w:rPr>
              <w:t>Follow with a simple term sheet and invoice/payment instructions. Do not negotiate tiers; adjust non-cash benefits only if needed.</w:t>
            </w:r>
          </w:p>
        </w:tc>
      </w:tr>
      <w:tr>
        <w:trPr>
          <w:cantSplit/>
        </w:trPr>
        <w:tc>
          <w:tcPr>
            <w:tcW w:type="dxa" w:w="1800"/>
            <w:shd w:fill="DDEAF2"/>
            <w:tcMar>
              <w:top w:w="80" w:type="dxa"/>
              <w:start w:w="85" w:type="dxa"/>
              <w:bottom w:w="80" w:type="dxa"/>
              <w:end w:w="85" w:type="dxa"/>
            </w:tcMar>
          </w:tcPr>
          <w:p>
            <w:pPr>
              <w:widowControl/>
            </w:pPr>
            <w:r>
              <w:rPr>
                <w:rFonts w:ascii="Arial" w:hAnsi="Arial"/>
                <w:b/>
                <w:i w:val="0"/>
                <w:color w:val="17324D"/>
                <w:sz w:val="16"/>
              </w:rPr>
              <w:t>Day 3</w:t>
            </w:r>
          </w:p>
        </w:tc>
        <w:tc>
          <w:tcPr>
            <w:tcW w:type="dxa" w:w="12527"/>
            <w:tcMar>
              <w:top w:w="80" w:type="dxa"/>
              <w:start w:w="90" w:type="dxa"/>
              <w:bottom w:w="80" w:type="dxa"/>
              <w:end w:w="90" w:type="dxa"/>
            </w:tcMar>
          </w:tcPr>
          <w:p>
            <w:pPr>
              <w:widowControl/>
            </w:pPr>
            <w:r>
              <w:rPr>
                <w:rFonts w:ascii="Arial" w:hAnsi="Arial"/>
                <w:b w:val="0"/>
                <w:i w:val="0"/>
                <w:color w:val="1F2933"/>
                <w:sz w:val="16"/>
              </w:rPr>
              <w:t>Move to the next prospect if there is no defined decision path. Maintain parallel conversations but state clearly that only the first completed agreement will be accepted.</w:t>
            </w:r>
          </w:p>
        </w:tc>
      </w:tr>
    </w:tbl>
    <w:p>
      <w:pPr>
        <w:pStyle w:val="Heading2"/>
        <w:keepNext/>
      </w:pPr>
      <w:r>
        <w:t>What the one-page memorandum must contain</w:t>
      </w:r>
    </w:p>
    <w:p>
      <w:pPr>
        <w:pStyle w:val="ListBullet"/>
        <w:spacing w:after="40" w:line="252" w:lineRule="auto"/>
      </w:pPr>
      <w:r>
        <w:rPr>
          <w:rFonts w:ascii="Arial" w:hAnsi="Arial"/>
          <w:b w:val="0"/>
          <w:i w:val="0"/>
          <w:color w:val="1F2933"/>
          <w:sz w:val="17"/>
        </w:rPr>
        <w:t>A firm event date and written venue confirmation; do not ask a sponsor to underwrite an unconfirmed date.</w:t>
      </w:r>
    </w:p>
    <w:p>
      <w:pPr>
        <w:pStyle w:val="ListBullet"/>
        <w:spacing w:after="40" w:line="252" w:lineRule="auto"/>
      </w:pPr>
      <w:r>
        <w:rPr>
          <w:rFonts w:ascii="Arial" w:hAnsi="Arial"/>
          <w:b w:val="0"/>
          <w:i w:val="0"/>
          <w:color w:val="1F2933"/>
          <w:sz w:val="17"/>
        </w:rPr>
        <w:t>A concise audience case: expected attendance, year-round resident accessibility, visitor reach, community-seat allocation and the organiser’s promotional channels.</w:t>
      </w:r>
    </w:p>
    <w:p>
      <w:pPr>
        <w:pStyle w:val="ListBullet"/>
        <w:spacing w:after="40" w:line="252" w:lineRule="auto"/>
      </w:pPr>
      <w:r>
        <w:rPr>
          <w:rFonts w:ascii="Arial" w:hAnsi="Arial"/>
          <w:b w:val="0"/>
          <w:i w:val="0"/>
          <w:color w:val="1F2933"/>
          <w:sz w:val="17"/>
        </w:rPr>
        <w:t>The exact exclusivity promise and all sponsor assets, with dimensions/deadlines for artwork and approval rights.</w:t>
      </w:r>
    </w:p>
    <w:p>
      <w:pPr>
        <w:pStyle w:val="ListBullet"/>
        <w:spacing w:after="40" w:line="252" w:lineRule="auto"/>
      </w:pPr>
      <w:r>
        <w:rPr>
          <w:rFonts w:ascii="Arial" w:hAnsi="Arial"/>
          <w:b w:val="0"/>
          <w:i w:val="0"/>
          <w:color w:val="1F2933"/>
          <w:sz w:val="17"/>
        </w:rPr>
        <w:t>Hospitality details: fourteen seats, parking, clam-bake timing, guest limits, rain plan, food/allergy arrangements and performer participation subject to contract.</w:t>
      </w:r>
    </w:p>
    <w:p>
      <w:pPr>
        <w:pStyle w:val="ListBullet"/>
        <w:spacing w:after="40" w:line="252" w:lineRule="auto"/>
      </w:pPr>
      <w:r>
        <w:rPr>
          <w:rFonts w:ascii="Arial" w:hAnsi="Arial"/>
          <w:b w:val="0"/>
          <w:i w:val="0"/>
          <w:color w:val="1F2933"/>
          <w:sz w:val="17"/>
        </w:rPr>
        <w:t>A fixed decision and payment date, cancellation/refund terms and a statement that only one sponsor will be contracted.</w:t>
      </w:r>
    </w:p>
    <w:p>
      <w:pPr>
        <w:pStyle w:val="Heading2"/>
        <w:keepNext/>
      </w:pPr>
      <w:r>
        <w:t>2027 preparation</w:t>
      </w:r>
    </w:p>
    <w:p>
      <w:pPr>
        <w:pStyle w:val="ListBullet"/>
        <w:spacing w:after="40" w:line="252" w:lineRule="auto"/>
      </w:pPr>
      <w:r>
        <w:rPr>
          <w:rFonts w:ascii="Arial" w:hAnsi="Arial"/>
          <w:b w:val="0"/>
          <w:i w:val="0"/>
          <w:color w:val="1F2933"/>
          <w:sz w:val="17"/>
        </w:rPr>
        <w:t>Start formal bank and foundation submissions between March and May, allowing at least eight to twelve weeks.</w:t>
      </w:r>
    </w:p>
    <w:p>
      <w:pPr>
        <w:pStyle w:val="ListBullet"/>
        <w:spacing w:after="40" w:line="252" w:lineRule="auto"/>
      </w:pPr>
      <w:r>
        <w:rPr>
          <w:rFonts w:ascii="Arial" w:hAnsi="Arial"/>
          <w:b w:val="0"/>
          <w:i w:val="0"/>
          <w:color w:val="1F2933"/>
          <w:sz w:val="17"/>
        </w:rPr>
        <w:t>Resolve federal tax status or secure a suitable fiscal sponsor before pursuing grant routes that require a qualified public charity.</w:t>
      </w:r>
    </w:p>
    <w:p>
      <w:pPr>
        <w:pStyle w:val="ListBullet"/>
        <w:spacing w:after="40" w:line="252" w:lineRule="auto"/>
      </w:pPr>
      <w:r>
        <w:rPr>
          <w:rFonts w:ascii="Arial" w:hAnsi="Arial"/>
          <w:b w:val="0"/>
          <w:i w:val="0"/>
          <w:color w:val="1F2933"/>
          <w:sz w:val="17"/>
        </w:rPr>
        <w:t>Capture 2026 attendance, audience postcode data, press reach, photographs, community-seat use and sponsor hospitality outcomes; these become the evidence base for renewal.</w:t>
      </w:r>
    </w:p>
    <w:p>
      <w:pPr>
        <w:pStyle w:val="ListBullet"/>
        <w:spacing w:after="40" w:line="252" w:lineRule="auto"/>
      </w:pPr>
      <w:r>
        <w:rPr>
          <w:rFonts w:ascii="Arial" w:hAnsi="Arial"/>
          <w:b w:val="0"/>
          <w:i w:val="0"/>
          <w:color w:val="1F2933"/>
          <w:sz w:val="17"/>
        </w:rPr>
        <w:t>Ask the 2026 sponsor for a first-right-of-discussion window for the next event, without promising automatic exclusivity.</w:t>
      </w:r>
    </w:p>
    <w:p>
      <w:r>
        <w:br w:type="page"/>
      </w:r>
    </w:p>
    <w:p>
      <w:pPr>
        <w:pStyle w:val="Heading1"/>
        <w:keepNext/>
      </w:pPr>
      <w:r>
        <w:t>Appendix A. Source register</w:t>
      </w:r>
    </w:p>
    <w:p>
      <w:pPr>
        <w:pStyle w:val="SmallNote"/>
      </w:pPr>
      <w:r>
        <w:rPr>
          <w:rFonts w:ascii="Arial" w:hAnsi="Arial"/>
          <w:b w:val="0"/>
          <w:i w:val="0"/>
          <w:color w:val="66727C"/>
          <w:sz w:val="15"/>
        </w:rPr>
        <w:t>All sources were accessed or reviewed for this report on or before 14 July 2026. Sponsor panels containing logos are cited as image-based evidence. URLs are shown in full and are clickable.</w:t>
      </w:r>
    </w:p>
    <w:tbl>
      <w:tblPr>
        <w:tblW w:type="auto" w:w="0"/>
        <w:jc w:val="center"/>
        <w:tblLayout w:type="fixed"/>
        <w:tblLook w:firstColumn="1" w:firstRow="1" w:lastColumn="0" w:lastRow="0" w:noHBand="0" w:noVBand="1" w:val="04A0"/>
        <w:tblBorders>
          <w:top w:val="single" w:sz="3" w:space="0" w:color="B8C2CC"/>
          <w:left w:val="single" w:sz="3" w:space="0" w:color="B8C2CC"/>
          <w:bottom w:val="single" w:sz="3" w:space="0" w:color="B8C2CC"/>
          <w:right w:val="single" w:sz="3" w:space="0" w:color="B8C2CC"/>
          <w:insideH w:val="single" w:sz="3" w:space="0" w:color="B8C2CC"/>
          <w:insideV w:val="single" w:sz="3" w:space="0" w:color="B8C2CC"/>
        </w:tblBorders>
      </w:tblPr>
      <w:tblGrid>
        <w:gridCol w:w="3585"/>
        <w:gridCol w:w="3585"/>
        <w:gridCol w:w="3585"/>
        <w:gridCol w:w="3585"/>
      </w:tblGrid>
      <w:tr>
        <w:trPr>
          <w:tblHeader w:val="true"/>
        </w:trPr>
        <w:tc>
          <w:tcPr>
            <w:tcW w:type="dxa" w:w="792"/>
            <w:shd w:fill="17324D"/>
            <w:tcMar>
              <w:top w:w="60" w:type="dxa"/>
              <w:start w:w="65" w:type="dxa"/>
              <w:bottom w:w="60" w:type="dxa"/>
              <w:end w:w="65" w:type="dxa"/>
            </w:tcMar>
          </w:tcPr>
          <w:p>
            <w:pPr>
              <w:widowControl/>
            </w:pPr>
            <w:r>
              <w:rPr>
                <w:rFonts w:ascii="Arial" w:hAnsi="Arial"/>
                <w:b/>
                <w:i w:val="0"/>
                <w:color w:val="FFFFFF"/>
                <w:sz w:val="15"/>
              </w:rPr>
              <w:t>ID</w:t>
            </w:r>
          </w:p>
        </w:tc>
        <w:tc>
          <w:tcPr>
            <w:tcW w:type="dxa" w:w="2736"/>
            <w:shd w:fill="17324D"/>
            <w:tcMar>
              <w:top w:w="60" w:type="dxa"/>
              <w:start w:w="65" w:type="dxa"/>
              <w:bottom w:w="60" w:type="dxa"/>
              <w:end w:w="65" w:type="dxa"/>
            </w:tcMar>
          </w:tcPr>
          <w:p>
            <w:pPr>
              <w:widowControl/>
            </w:pPr>
            <w:r>
              <w:rPr>
                <w:rFonts w:ascii="Arial" w:hAnsi="Arial"/>
                <w:b/>
                <w:i w:val="0"/>
                <w:color w:val="FFFFFF"/>
                <w:sz w:val="15"/>
              </w:rPr>
              <w:t>Organisation</w:t>
            </w:r>
          </w:p>
        </w:tc>
        <w:tc>
          <w:tcPr>
            <w:tcW w:type="dxa" w:w="4320"/>
            <w:shd w:fill="17324D"/>
            <w:tcMar>
              <w:top w:w="60" w:type="dxa"/>
              <w:start w:w="65" w:type="dxa"/>
              <w:bottom w:w="60" w:type="dxa"/>
              <w:end w:w="65" w:type="dxa"/>
            </w:tcMar>
          </w:tcPr>
          <w:p>
            <w:pPr>
              <w:widowControl/>
            </w:pPr>
            <w:r>
              <w:rPr>
                <w:rFonts w:ascii="Arial" w:hAnsi="Arial"/>
                <w:b/>
                <w:i w:val="0"/>
                <w:color w:val="FFFFFF"/>
                <w:sz w:val="15"/>
              </w:rPr>
              <w:t>Source / use</w:t>
            </w:r>
          </w:p>
        </w:tc>
        <w:tc>
          <w:tcPr>
            <w:tcW w:type="dxa" w:w="6480"/>
            <w:shd w:fill="17324D"/>
            <w:tcMar>
              <w:top w:w="60" w:type="dxa"/>
              <w:start w:w="65" w:type="dxa"/>
              <w:bottom w:w="60" w:type="dxa"/>
              <w:end w:w="65" w:type="dxa"/>
            </w:tcMar>
          </w:tcPr>
          <w:p>
            <w:pPr>
              <w:widowControl/>
            </w:pPr>
            <w:r>
              <w:rPr>
                <w:rFonts w:ascii="Arial" w:hAnsi="Arial"/>
                <w:b/>
                <w:i w:val="0"/>
                <w:color w:val="FFFFFF"/>
                <w:sz w:val="15"/>
              </w:rPr>
              <w:t>URL</w:t>
            </w:r>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S01</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CCCC Educational Foundation</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38th Annual Benefit Golf Tournament; 2026 sponsor panel</w:t>
            </w:r>
          </w:p>
        </w:tc>
        <w:tc>
          <w:tcPr>
            <w:tcW w:type="dxa" w:w="3585"/>
            <w:shd w:fill="FFFFFF"/>
            <w:tcMar>
              <w:top w:w="50" w:type="dxa"/>
              <w:start w:w="60" w:type="dxa"/>
              <w:bottom w:w="50" w:type="dxa"/>
              <w:end w:w="60" w:type="dxa"/>
            </w:tcMar>
            <w:vAlign w:val="top"/>
          </w:tcPr>
          <w:p>
            <w:pPr>
              <w:widowControl/>
              <w:spacing w:after="0"/>
            </w:pPr>
            <w:hyperlink r:id="rId11">
              <w:r>
                <w:rPr>
                  <w:color w:val="2E5F8A"/>
                  <w:u w:val="single"/>
                  <w:sz w:val="12"/>
                  <w:szCs w:val="12"/>
                  <w:rFonts w:ascii="Arial" w:hAnsi="Arial"/>
                </w:rPr>
                <w:t>https://ccccfoundation.org/golf-tournament/</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S02</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CCCC Educational Foundation</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Board of Directors; current names, titles and venue relationships</w:t>
            </w:r>
          </w:p>
        </w:tc>
        <w:tc>
          <w:tcPr>
            <w:tcW w:type="dxa" w:w="3585"/>
            <w:shd w:fill="F4F7F9"/>
            <w:tcMar>
              <w:top w:w="50" w:type="dxa"/>
              <w:start w:w="60" w:type="dxa"/>
              <w:bottom w:w="50" w:type="dxa"/>
              <w:end w:w="60" w:type="dxa"/>
            </w:tcMar>
            <w:vAlign w:val="top"/>
          </w:tcPr>
          <w:p>
            <w:pPr>
              <w:widowControl/>
              <w:spacing w:after="0"/>
            </w:pPr>
            <w:hyperlink r:id="rId12">
              <w:r>
                <w:rPr>
                  <w:color w:val="2E5F8A"/>
                  <w:u w:val="single"/>
                  <w:sz w:val="12"/>
                  <w:szCs w:val="12"/>
                  <w:rFonts w:ascii="Arial" w:hAnsi="Arial"/>
                </w:rPr>
                <w:t>https://ccccfoundation.org/board-of-directors/</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S03</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The Cape Playhouse</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2026 supporting partners</w:t>
            </w:r>
          </w:p>
        </w:tc>
        <w:tc>
          <w:tcPr>
            <w:tcW w:type="dxa" w:w="3585"/>
            <w:shd w:fill="FFFFFF"/>
            <w:tcMar>
              <w:top w:w="50" w:type="dxa"/>
              <w:start w:w="60" w:type="dxa"/>
              <w:bottom w:w="50" w:type="dxa"/>
              <w:end w:w="60" w:type="dxa"/>
            </w:tcMar>
            <w:vAlign w:val="top"/>
          </w:tcPr>
          <w:p>
            <w:pPr>
              <w:widowControl/>
              <w:spacing w:after="0"/>
            </w:pPr>
            <w:hyperlink r:id="rId13">
              <w:r>
                <w:rPr>
                  <w:color w:val="2E5F8A"/>
                  <w:u w:val="single"/>
                  <w:sz w:val="12"/>
                  <w:szCs w:val="12"/>
                  <w:rFonts w:ascii="Arial" w:hAnsi="Arial"/>
                </w:rPr>
                <w:t>https://capeplayhouse.com/</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S04</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Arts Foundation of Cape Cod</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2026 Arts Gala sponsor panel</w:t>
            </w:r>
          </w:p>
        </w:tc>
        <w:tc>
          <w:tcPr>
            <w:tcW w:type="dxa" w:w="3585"/>
            <w:shd w:fill="F4F7F9"/>
            <w:tcMar>
              <w:top w:w="50" w:type="dxa"/>
              <w:start w:w="60" w:type="dxa"/>
              <w:bottom w:w="50" w:type="dxa"/>
              <w:end w:w="60" w:type="dxa"/>
            </w:tcMar>
            <w:vAlign w:val="top"/>
          </w:tcPr>
          <w:p>
            <w:pPr>
              <w:widowControl/>
              <w:spacing w:after="0"/>
            </w:pPr>
            <w:hyperlink r:id="rId14">
              <w:r>
                <w:rPr>
                  <w:color w:val="2E5F8A"/>
                  <w:u w:val="single"/>
                  <w:sz w:val="12"/>
                  <w:szCs w:val="12"/>
                  <w:rFonts w:ascii="Arial" w:hAnsi="Arial"/>
                </w:rPr>
                <w:t>https://www.artsfoundation.org/arts-gala</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S05</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Cape Cod Theatre Company / Harwich Junior Theatre</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2026 supporter panel</w:t>
            </w:r>
          </w:p>
        </w:tc>
        <w:tc>
          <w:tcPr>
            <w:tcW w:type="dxa" w:w="3585"/>
            <w:shd w:fill="FFFFFF"/>
            <w:tcMar>
              <w:top w:w="50" w:type="dxa"/>
              <w:start w:w="60" w:type="dxa"/>
              <w:bottom w:w="50" w:type="dxa"/>
              <w:end w:w="60" w:type="dxa"/>
            </w:tcMar>
            <w:vAlign w:val="top"/>
          </w:tcPr>
          <w:p>
            <w:pPr>
              <w:widowControl/>
              <w:spacing w:after="0"/>
            </w:pPr>
            <w:hyperlink r:id="rId15">
              <w:r>
                <w:rPr>
                  <w:color w:val="2E5F8A"/>
                  <w:u w:val="single"/>
                  <w:sz w:val="12"/>
                  <w:szCs w:val="12"/>
                  <w:rFonts w:ascii="Arial" w:hAnsi="Arial"/>
                </w:rPr>
                <w:t>https://capecodtheatrecompany.org/</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S06</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Center for Coastal Studies</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Current sponsors and Cape marine-sector evidence</w:t>
            </w:r>
          </w:p>
        </w:tc>
        <w:tc>
          <w:tcPr>
            <w:tcW w:type="dxa" w:w="3585"/>
            <w:shd w:fill="F4F7F9"/>
            <w:tcMar>
              <w:top w:w="50" w:type="dxa"/>
              <w:start w:w="60" w:type="dxa"/>
              <w:bottom w:w="50" w:type="dxa"/>
              <w:end w:w="60" w:type="dxa"/>
            </w:tcMar>
            <w:vAlign w:val="top"/>
          </w:tcPr>
          <w:p>
            <w:pPr>
              <w:widowControl/>
              <w:spacing w:after="0"/>
            </w:pPr>
            <w:hyperlink r:id="rId16">
              <w:r>
                <w:rPr>
                  <w:color w:val="2E5F8A"/>
                  <w:u w:val="single"/>
                  <w:sz w:val="12"/>
                  <w:szCs w:val="12"/>
                  <w:rFonts w:ascii="Arial" w:hAnsi="Arial"/>
                </w:rPr>
                <w:t>https://coastalstudies.org/</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S07</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Heritage Museums &amp; Gardens</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2026 season sponsor panel</w:t>
            </w:r>
          </w:p>
        </w:tc>
        <w:tc>
          <w:tcPr>
            <w:tcW w:type="dxa" w:w="3585"/>
            <w:shd w:fill="FFFFFF"/>
            <w:tcMar>
              <w:top w:w="50" w:type="dxa"/>
              <w:start w:w="60" w:type="dxa"/>
              <w:bottom w:w="50" w:type="dxa"/>
              <w:end w:w="60" w:type="dxa"/>
            </w:tcMar>
            <w:vAlign w:val="top"/>
          </w:tcPr>
          <w:p>
            <w:pPr>
              <w:widowControl/>
              <w:spacing w:after="0"/>
            </w:pPr>
            <w:hyperlink r:id="rId17">
              <w:r>
                <w:rPr>
                  <w:color w:val="2E5F8A"/>
                  <w:u w:val="single"/>
                  <w:sz w:val="12"/>
                  <w:szCs w:val="12"/>
                  <w:rFonts w:ascii="Arial" w:hAnsi="Arial"/>
                </w:rPr>
                <w:t>https://heritagemuseumsandgardens.org/</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S08</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Atlantic White Shark Conservancy</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Current corporate sponsorship / buoy sponsor page</w:t>
            </w:r>
          </w:p>
        </w:tc>
        <w:tc>
          <w:tcPr>
            <w:tcW w:type="dxa" w:w="3585"/>
            <w:shd w:fill="F4F7F9"/>
            <w:tcMar>
              <w:top w:w="50" w:type="dxa"/>
              <w:start w:w="60" w:type="dxa"/>
              <w:bottom w:w="50" w:type="dxa"/>
              <w:end w:w="60" w:type="dxa"/>
            </w:tcMar>
            <w:vAlign w:val="top"/>
          </w:tcPr>
          <w:p>
            <w:pPr>
              <w:widowControl/>
              <w:spacing w:after="0"/>
            </w:pPr>
            <w:hyperlink r:id="rId18">
              <w:r>
                <w:rPr>
                  <w:color w:val="2E5F8A"/>
                  <w:u w:val="single"/>
                  <w:sz w:val="12"/>
                  <w:szCs w:val="12"/>
                  <w:rFonts w:ascii="Arial" w:hAnsi="Arial"/>
                </w:rPr>
                <w:t>https://www.atlanticwhiteshark.org/sponsor</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S09</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Cape Cod 5</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Community support applications, event sponsorship and two-month lead time</w:t>
            </w:r>
          </w:p>
        </w:tc>
        <w:tc>
          <w:tcPr>
            <w:tcW w:type="dxa" w:w="3585"/>
            <w:shd w:fill="FFFFFF"/>
            <w:tcMar>
              <w:top w:w="50" w:type="dxa"/>
              <w:start w:w="60" w:type="dxa"/>
              <w:bottom w:w="50" w:type="dxa"/>
              <w:end w:w="60" w:type="dxa"/>
            </w:tcMar>
            <w:vAlign w:val="top"/>
          </w:tcPr>
          <w:p>
            <w:pPr>
              <w:widowControl/>
              <w:spacing w:after="0"/>
            </w:pPr>
            <w:hyperlink r:id="rId19">
              <w:r>
                <w:rPr>
                  <w:color w:val="2E5F8A"/>
                  <w:u w:val="single"/>
                  <w:sz w:val="12"/>
                  <w:szCs w:val="12"/>
                  <w:rFonts w:ascii="Arial" w:hAnsi="Arial"/>
                </w:rPr>
                <w:t>https://www.capecodfive.com/community-support-applications</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S10</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Cape Cod 5</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2025 Impact Report: assets and charitable giving</w:t>
            </w:r>
          </w:p>
        </w:tc>
        <w:tc>
          <w:tcPr>
            <w:tcW w:type="dxa" w:w="3585"/>
            <w:shd w:fill="F4F7F9"/>
            <w:tcMar>
              <w:top w:w="50" w:type="dxa"/>
              <w:start w:w="60" w:type="dxa"/>
              <w:bottom w:w="50" w:type="dxa"/>
              <w:end w:w="60" w:type="dxa"/>
            </w:tcMar>
            <w:vAlign w:val="top"/>
          </w:tcPr>
          <w:p>
            <w:pPr>
              <w:widowControl/>
              <w:spacing w:after="0"/>
            </w:pPr>
            <w:hyperlink r:id="rId20">
              <w:r>
                <w:rPr>
                  <w:color w:val="2E5F8A"/>
                  <w:u w:val="single"/>
                  <w:sz w:val="12"/>
                  <w:szCs w:val="12"/>
                  <w:rFonts w:ascii="Arial" w:hAnsi="Arial"/>
                </w:rPr>
                <w:t>https://www.capecodfive.com/2025-impact-report</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S11</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Cape &amp; Coast Bank</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Charitable giving, sponsorship portal and Community Relations Officer</w:t>
            </w:r>
          </w:p>
        </w:tc>
        <w:tc>
          <w:tcPr>
            <w:tcW w:type="dxa" w:w="3585"/>
            <w:shd w:fill="FFFFFF"/>
            <w:tcMar>
              <w:top w:w="50" w:type="dxa"/>
              <w:start w:w="60" w:type="dxa"/>
              <w:bottom w:w="50" w:type="dxa"/>
              <w:end w:w="60" w:type="dxa"/>
            </w:tcMar>
            <w:vAlign w:val="top"/>
          </w:tcPr>
          <w:p>
            <w:pPr>
              <w:widowControl/>
              <w:spacing w:after="0"/>
            </w:pPr>
            <w:hyperlink r:id="rId21">
              <w:r>
                <w:rPr>
                  <w:color w:val="2E5F8A"/>
                  <w:u w:val="single"/>
                  <w:sz w:val="12"/>
                  <w:szCs w:val="12"/>
                  <w:rFonts w:ascii="Arial" w:hAnsi="Arial"/>
                </w:rPr>
                <w:t>https://www.capeandcoastbank.com/about-us/community-giving/charitable-giving/</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S12</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Cape &amp; Coast Bank</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2026 annual meeting: community support, assets and chief executive</w:t>
            </w:r>
          </w:p>
        </w:tc>
        <w:tc>
          <w:tcPr>
            <w:tcW w:type="dxa" w:w="3585"/>
            <w:shd w:fill="F4F7F9"/>
            <w:tcMar>
              <w:top w:w="50" w:type="dxa"/>
              <w:start w:w="60" w:type="dxa"/>
              <w:bottom w:w="50" w:type="dxa"/>
              <w:end w:w="60" w:type="dxa"/>
            </w:tcMar>
            <w:vAlign w:val="top"/>
          </w:tcPr>
          <w:p>
            <w:pPr>
              <w:widowControl/>
              <w:spacing w:after="0"/>
            </w:pPr>
            <w:hyperlink r:id="rId22">
              <w:r>
                <w:rPr>
                  <w:color w:val="2E5F8A"/>
                  <w:u w:val="single"/>
                  <w:sz w:val="12"/>
                  <w:szCs w:val="12"/>
                  <w:rFonts w:ascii="Arial" w:hAnsi="Arial"/>
                </w:rPr>
                <w:t>https://www.capeandcoastbank.com/cape-coast-bank-reports-strong-growth-community-impact-at-annual-meeting/</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S13</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Rockland Trust</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Community giving, cultural performance sponsorship and decision times</w:t>
            </w:r>
          </w:p>
        </w:tc>
        <w:tc>
          <w:tcPr>
            <w:tcW w:type="dxa" w:w="3585"/>
            <w:shd w:fill="FFFFFF"/>
            <w:tcMar>
              <w:top w:w="50" w:type="dxa"/>
              <w:start w:w="60" w:type="dxa"/>
              <w:bottom w:w="50" w:type="dxa"/>
              <w:end w:w="60" w:type="dxa"/>
            </w:tcMar>
            <w:vAlign w:val="top"/>
          </w:tcPr>
          <w:p>
            <w:pPr>
              <w:widowControl/>
              <w:spacing w:after="0"/>
            </w:pPr>
            <w:hyperlink r:id="rId23">
              <w:r>
                <w:rPr>
                  <w:color w:val="2E5F8A"/>
                  <w:u w:val="single"/>
                  <w:sz w:val="12"/>
                  <w:szCs w:val="12"/>
                  <w:rFonts w:ascii="Arial" w:hAnsi="Arial"/>
                </w:rPr>
                <w:t>https://www.rocklandtrust.com/about-us/community-giving</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S14</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Rockland Trust</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Executive leadership, including Chief Marketing Officer</w:t>
            </w:r>
          </w:p>
        </w:tc>
        <w:tc>
          <w:tcPr>
            <w:tcW w:type="dxa" w:w="3585"/>
            <w:shd w:fill="F4F7F9"/>
            <w:tcMar>
              <w:top w:w="50" w:type="dxa"/>
              <w:start w:w="60" w:type="dxa"/>
              <w:bottom w:w="50" w:type="dxa"/>
              <w:end w:w="60" w:type="dxa"/>
            </w:tcMar>
            <w:vAlign w:val="top"/>
          </w:tcPr>
          <w:p>
            <w:pPr>
              <w:widowControl/>
              <w:spacing w:after="0"/>
            </w:pPr>
            <w:hyperlink r:id="rId24">
              <w:r>
                <w:rPr>
                  <w:color w:val="2E5F8A"/>
                  <w:u w:val="single"/>
                  <w:sz w:val="12"/>
                  <w:szCs w:val="12"/>
                  <w:rFonts w:ascii="Arial" w:hAnsi="Arial"/>
                </w:rPr>
                <w:t>https://www.rocklandtrust.com/about-us/explore/leadership</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S15</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Cape Air</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Senior leadership and Hyannis headquarters</w:t>
            </w:r>
          </w:p>
        </w:tc>
        <w:tc>
          <w:tcPr>
            <w:tcW w:type="dxa" w:w="3585"/>
            <w:shd w:fill="FFFFFF"/>
            <w:tcMar>
              <w:top w:w="50" w:type="dxa"/>
              <w:start w:w="60" w:type="dxa"/>
              <w:bottom w:w="50" w:type="dxa"/>
              <w:end w:w="60" w:type="dxa"/>
            </w:tcMar>
            <w:vAlign w:val="top"/>
          </w:tcPr>
          <w:p>
            <w:pPr>
              <w:widowControl/>
              <w:spacing w:after="0"/>
            </w:pPr>
            <w:hyperlink r:id="rId25">
              <w:r>
                <w:rPr>
                  <w:color w:val="2E5F8A"/>
                  <w:u w:val="single"/>
                  <w:sz w:val="12"/>
                  <w:szCs w:val="12"/>
                  <w:rFonts w:ascii="Arial" w:hAnsi="Arial"/>
                </w:rPr>
                <w:t>https://www.capeair.com/about_us/Leadership/Leadership.html</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S16</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Cape Air</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Giving back to communities</w:t>
            </w:r>
          </w:p>
        </w:tc>
        <w:tc>
          <w:tcPr>
            <w:tcW w:type="dxa" w:w="3585"/>
            <w:shd w:fill="F4F7F9"/>
            <w:tcMar>
              <w:top w:w="50" w:type="dxa"/>
              <w:start w:w="60" w:type="dxa"/>
              <w:bottom w:w="50" w:type="dxa"/>
              <w:end w:w="60" w:type="dxa"/>
            </w:tcMar>
            <w:vAlign w:val="top"/>
          </w:tcPr>
          <w:p>
            <w:pPr>
              <w:widowControl/>
              <w:spacing w:after="0"/>
            </w:pPr>
            <w:hyperlink r:id="rId26">
              <w:r>
                <w:rPr>
                  <w:color w:val="2E5F8A"/>
                  <w:u w:val="single"/>
                  <w:sz w:val="12"/>
                  <w:szCs w:val="12"/>
                  <w:rFonts w:ascii="Arial" w:hAnsi="Arial"/>
                </w:rPr>
                <w:t>https://www.capeair.com/about_us/giving-back.html</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S17</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Tighe &amp; Bond</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Leadership, including Chief Marketing Officer</w:t>
            </w:r>
          </w:p>
        </w:tc>
        <w:tc>
          <w:tcPr>
            <w:tcW w:type="dxa" w:w="3585"/>
            <w:shd w:fill="FFFFFF"/>
            <w:tcMar>
              <w:top w:w="50" w:type="dxa"/>
              <w:start w:w="60" w:type="dxa"/>
              <w:bottom w:w="50" w:type="dxa"/>
              <w:end w:w="60" w:type="dxa"/>
            </w:tcMar>
            <w:vAlign w:val="top"/>
          </w:tcPr>
          <w:p>
            <w:pPr>
              <w:widowControl/>
              <w:spacing w:after="0"/>
            </w:pPr>
            <w:hyperlink r:id="rId27">
              <w:r>
                <w:rPr>
                  <w:color w:val="2E5F8A"/>
                  <w:u w:val="single"/>
                  <w:sz w:val="12"/>
                  <w:szCs w:val="12"/>
                  <w:rFonts w:ascii="Arial" w:hAnsi="Arial"/>
                </w:rPr>
                <w:t>https://www.tighebond.com/who-we-are/our-leadership/</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S18</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Tighe &amp; Bond</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Corporate giving and Make a Difference programme</w:t>
            </w:r>
          </w:p>
        </w:tc>
        <w:tc>
          <w:tcPr>
            <w:tcW w:type="dxa" w:w="3585"/>
            <w:shd w:fill="F4F7F9"/>
            <w:tcMar>
              <w:top w:w="50" w:type="dxa"/>
              <w:start w:w="60" w:type="dxa"/>
              <w:bottom w:w="50" w:type="dxa"/>
              <w:end w:w="60" w:type="dxa"/>
            </w:tcMar>
            <w:vAlign w:val="top"/>
          </w:tcPr>
          <w:p>
            <w:pPr>
              <w:widowControl/>
              <w:spacing w:after="0"/>
            </w:pPr>
            <w:hyperlink r:id="rId28">
              <w:r>
                <w:rPr>
                  <w:color w:val="2E5F8A"/>
                  <w:u w:val="single"/>
                  <w:sz w:val="12"/>
                  <w:szCs w:val="12"/>
                  <w:rFonts w:ascii="Arial" w:hAnsi="Arial"/>
                </w:rPr>
                <w:t>https://www.tighebond.com/who-we-are/giving-back/</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S19</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Cape Cod Healthcare</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Senior leadership</w:t>
            </w:r>
          </w:p>
        </w:tc>
        <w:tc>
          <w:tcPr>
            <w:tcW w:type="dxa" w:w="3585"/>
            <w:shd w:fill="FFFFFF"/>
            <w:tcMar>
              <w:top w:w="50" w:type="dxa"/>
              <w:start w:w="60" w:type="dxa"/>
              <w:bottom w:w="50" w:type="dxa"/>
              <w:end w:w="60" w:type="dxa"/>
            </w:tcMar>
            <w:vAlign w:val="top"/>
          </w:tcPr>
          <w:p>
            <w:pPr>
              <w:widowControl/>
              <w:spacing w:after="0"/>
            </w:pPr>
            <w:hyperlink r:id="rId29">
              <w:r>
                <w:rPr>
                  <w:color w:val="2E5F8A"/>
                  <w:u w:val="single"/>
                  <w:sz w:val="12"/>
                  <w:szCs w:val="12"/>
                  <w:rFonts w:ascii="Arial" w:hAnsi="Arial"/>
                </w:rPr>
                <w:t>https://www.capecodhealth.org/about/senior-leadership/</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S20</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Cape Cod Healthcare</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Community Benefits programme</w:t>
            </w:r>
          </w:p>
        </w:tc>
        <w:tc>
          <w:tcPr>
            <w:tcW w:type="dxa" w:w="3585"/>
            <w:shd w:fill="F4F7F9"/>
            <w:tcMar>
              <w:top w:w="50" w:type="dxa"/>
              <w:start w:w="60" w:type="dxa"/>
              <w:bottom w:w="50" w:type="dxa"/>
              <w:end w:w="60" w:type="dxa"/>
            </w:tcMar>
            <w:vAlign w:val="top"/>
          </w:tcPr>
          <w:p>
            <w:pPr>
              <w:widowControl/>
              <w:spacing w:after="0"/>
            </w:pPr>
            <w:hyperlink r:id="rId30">
              <w:r>
                <w:rPr>
                  <w:color w:val="2E5F8A"/>
                  <w:u w:val="single"/>
                  <w:sz w:val="12"/>
                  <w:szCs w:val="12"/>
                  <w:rFonts w:ascii="Arial" w:hAnsi="Arial"/>
                </w:rPr>
                <w:t>https://www.capecodhealth.org/about/caring-for-our-community/</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S21</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The Davenport Companies</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Foundation and corporate giving cycles</w:t>
            </w:r>
          </w:p>
        </w:tc>
        <w:tc>
          <w:tcPr>
            <w:tcW w:type="dxa" w:w="3585"/>
            <w:shd w:fill="FFFFFF"/>
            <w:tcMar>
              <w:top w:w="50" w:type="dxa"/>
              <w:start w:w="60" w:type="dxa"/>
              <w:bottom w:w="50" w:type="dxa"/>
              <w:end w:w="60" w:type="dxa"/>
            </w:tcMar>
            <w:vAlign w:val="top"/>
          </w:tcPr>
          <w:p>
            <w:pPr>
              <w:widowControl/>
              <w:spacing w:after="0"/>
            </w:pPr>
            <w:hyperlink r:id="rId31">
              <w:r>
                <w:rPr>
                  <w:color w:val="2E5F8A"/>
                  <w:u w:val="single"/>
                  <w:sz w:val="12"/>
                  <w:szCs w:val="12"/>
                  <w:rFonts w:ascii="Arial" w:hAnsi="Arial"/>
                </w:rPr>
                <w:t>https://thedavenportcompanies.com/charitable-giving/</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S22</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The Davenport Companies</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Company portfolio and Cape Cod family-business profile</w:t>
            </w:r>
          </w:p>
        </w:tc>
        <w:tc>
          <w:tcPr>
            <w:tcW w:type="dxa" w:w="3585"/>
            <w:shd w:fill="F4F7F9"/>
            <w:tcMar>
              <w:top w:w="50" w:type="dxa"/>
              <w:start w:w="60" w:type="dxa"/>
              <w:bottom w:w="50" w:type="dxa"/>
              <w:end w:w="60" w:type="dxa"/>
            </w:tcMar>
            <w:vAlign w:val="top"/>
          </w:tcPr>
          <w:p>
            <w:pPr>
              <w:widowControl/>
              <w:spacing w:after="0"/>
            </w:pPr>
            <w:hyperlink r:id="rId32">
              <w:r>
                <w:rPr>
                  <w:color w:val="2E5F8A"/>
                  <w:u w:val="single"/>
                  <w:sz w:val="12"/>
                  <w:szCs w:val="12"/>
                  <w:rFonts w:ascii="Arial" w:hAnsi="Arial"/>
                </w:rPr>
                <w:t>https://thedavenportcompanies.com/</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S23</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Cape Associates</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Philanthropy and annual arts/community support</w:t>
            </w:r>
          </w:p>
        </w:tc>
        <w:tc>
          <w:tcPr>
            <w:tcW w:type="dxa" w:w="3585"/>
            <w:shd w:fill="FFFFFF"/>
            <w:tcMar>
              <w:top w:w="50" w:type="dxa"/>
              <w:start w:w="60" w:type="dxa"/>
              <w:bottom w:w="50" w:type="dxa"/>
              <w:end w:w="60" w:type="dxa"/>
            </w:tcMar>
            <w:vAlign w:val="top"/>
          </w:tcPr>
          <w:p>
            <w:pPr>
              <w:widowControl/>
              <w:spacing w:after="0"/>
            </w:pPr>
            <w:hyperlink r:id="rId33">
              <w:r>
                <w:rPr>
                  <w:color w:val="2E5F8A"/>
                  <w:u w:val="single"/>
                  <w:sz w:val="12"/>
                  <w:szCs w:val="12"/>
                  <w:rFonts w:ascii="Arial" w:hAnsi="Arial"/>
                </w:rPr>
                <w:t>https://www.capeassociates.com/philanthropy</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S24</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Cape Associates</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Senior leadership and company scale</w:t>
            </w:r>
          </w:p>
        </w:tc>
        <w:tc>
          <w:tcPr>
            <w:tcW w:type="dxa" w:w="3585"/>
            <w:shd w:fill="F4F7F9"/>
            <w:tcMar>
              <w:top w:w="50" w:type="dxa"/>
              <w:start w:w="60" w:type="dxa"/>
              <w:bottom w:w="50" w:type="dxa"/>
              <w:end w:w="60" w:type="dxa"/>
            </w:tcMar>
            <w:vAlign w:val="top"/>
          </w:tcPr>
          <w:p>
            <w:pPr>
              <w:widowControl/>
              <w:spacing w:after="0"/>
            </w:pPr>
            <w:hyperlink r:id="rId34">
              <w:r>
                <w:rPr>
                  <w:color w:val="2E5F8A"/>
                  <w:u w:val="single"/>
                  <w:sz w:val="12"/>
                  <w:szCs w:val="12"/>
                  <w:rFonts w:ascii="Arial" w:hAnsi="Arial"/>
                </w:rPr>
                <w:t>https://www.capeassociates.com/our-team</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S25</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Eastern Bank</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Foundation application routes, typical ranges and decision timing</w:t>
            </w:r>
          </w:p>
        </w:tc>
        <w:tc>
          <w:tcPr>
            <w:tcW w:type="dxa" w:w="3585"/>
            <w:shd w:fill="FFFFFF"/>
            <w:tcMar>
              <w:top w:w="50" w:type="dxa"/>
              <w:start w:w="60" w:type="dxa"/>
              <w:bottom w:w="50" w:type="dxa"/>
              <w:end w:w="60" w:type="dxa"/>
            </w:tcMar>
            <w:vAlign w:val="top"/>
          </w:tcPr>
          <w:p>
            <w:pPr>
              <w:widowControl/>
              <w:spacing w:after="0"/>
            </w:pPr>
            <w:hyperlink r:id="rId35">
              <w:r>
                <w:rPr>
                  <w:color w:val="2E5F8A"/>
                  <w:u w:val="single"/>
                  <w:sz w:val="12"/>
                  <w:szCs w:val="12"/>
                  <w:rFonts w:ascii="Arial" w:hAnsi="Arial"/>
                </w:rPr>
                <w:t>https://www.easternbank.com/about-us/eastern-bank-foundation/apply</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S26</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Eastern Bank</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Executive leadership</w:t>
            </w:r>
          </w:p>
        </w:tc>
        <w:tc>
          <w:tcPr>
            <w:tcW w:type="dxa" w:w="3585"/>
            <w:shd w:fill="F4F7F9"/>
            <w:tcMar>
              <w:top w:w="50" w:type="dxa"/>
              <w:start w:w="60" w:type="dxa"/>
              <w:bottom w:w="50" w:type="dxa"/>
              <w:end w:w="60" w:type="dxa"/>
            </w:tcMar>
            <w:vAlign w:val="top"/>
          </w:tcPr>
          <w:p>
            <w:pPr>
              <w:widowControl/>
              <w:spacing w:after="0"/>
            </w:pPr>
            <w:hyperlink r:id="rId36">
              <w:r>
                <w:rPr>
                  <w:color w:val="2E5F8A"/>
                  <w:u w:val="single"/>
                  <w:sz w:val="12"/>
                  <w:szCs w:val="12"/>
                  <w:rFonts w:ascii="Arial" w:hAnsi="Arial"/>
                </w:rPr>
                <w:t>https://www.easternbank.com/about-us/executive-leadership</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S27</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Lawrence-Lynch Corp.</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Company history and leadership</w:t>
            </w:r>
          </w:p>
        </w:tc>
        <w:tc>
          <w:tcPr>
            <w:tcW w:type="dxa" w:w="3585"/>
            <w:shd w:fill="FFFFFF"/>
            <w:tcMar>
              <w:top w:w="50" w:type="dxa"/>
              <w:start w:w="60" w:type="dxa"/>
              <w:bottom w:w="50" w:type="dxa"/>
              <w:end w:w="60" w:type="dxa"/>
            </w:tcMar>
            <w:vAlign w:val="top"/>
          </w:tcPr>
          <w:p>
            <w:pPr>
              <w:widowControl/>
              <w:spacing w:after="0"/>
            </w:pPr>
            <w:hyperlink r:id="rId37">
              <w:r>
                <w:rPr>
                  <w:color w:val="2E5F8A"/>
                  <w:u w:val="single"/>
                  <w:sz w:val="12"/>
                  <w:szCs w:val="12"/>
                  <w:rFonts w:ascii="Arial" w:hAnsi="Arial"/>
                </w:rPr>
                <w:t>https://www.lawrencelynch.com/about-us</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S28</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William Raveis</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Company overview and founder/chief executive</w:t>
            </w:r>
          </w:p>
        </w:tc>
        <w:tc>
          <w:tcPr>
            <w:tcW w:type="dxa" w:w="3585"/>
            <w:shd w:fill="F4F7F9"/>
            <w:tcMar>
              <w:top w:w="50" w:type="dxa"/>
              <w:start w:w="60" w:type="dxa"/>
              <w:bottom w:w="50" w:type="dxa"/>
              <w:end w:w="60" w:type="dxa"/>
            </w:tcMar>
            <w:vAlign w:val="top"/>
          </w:tcPr>
          <w:p>
            <w:pPr>
              <w:widowControl/>
              <w:spacing w:after="0"/>
            </w:pPr>
            <w:hyperlink r:id="rId38">
              <w:r>
                <w:rPr>
                  <w:color w:val="2E5F8A"/>
                  <w:u w:val="single"/>
                  <w:sz w:val="12"/>
                  <w:szCs w:val="12"/>
                  <w:rFonts w:ascii="Arial" w:hAnsi="Arial"/>
                </w:rPr>
                <w:t>https://www.raveis.com/Home/AboutUs</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S29</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William Raveis Charitable Fund</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Stated charitable focus</w:t>
            </w:r>
          </w:p>
        </w:tc>
        <w:tc>
          <w:tcPr>
            <w:tcW w:type="dxa" w:w="3585"/>
            <w:shd w:fill="FFFFFF"/>
            <w:tcMar>
              <w:top w:w="50" w:type="dxa"/>
              <w:start w:w="60" w:type="dxa"/>
              <w:bottom w:w="50" w:type="dxa"/>
              <w:end w:w="60" w:type="dxa"/>
            </w:tcMar>
            <w:vAlign w:val="top"/>
          </w:tcPr>
          <w:p>
            <w:pPr>
              <w:widowControl/>
              <w:spacing w:after="0"/>
            </w:pPr>
            <w:hyperlink r:id="rId39">
              <w:r>
                <w:rPr>
                  <w:color w:val="2E5F8A"/>
                  <w:u w:val="single"/>
                  <w:sz w:val="12"/>
                  <w:szCs w:val="12"/>
                  <w:rFonts w:ascii="Arial" w:hAnsi="Arial"/>
                </w:rPr>
                <w:t>https://raveischaritablefund.com/</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S30</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Seamen's Bank</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Current bank leadership and Outer Cape presence</w:t>
            </w:r>
          </w:p>
        </w:tc>
        <w:tc>
          <w:tcPr>
            <w:tcW w:type="dxa" w:w="3585"/>
            <w:shd w:fill="F4F7F9"/>
            <w:tcMar>
              <w:top w:w="50" w:type="dxa"/>
              <w:start w:w="60" w:type="dxa"/>
              <w:bottom w:w="50" w:type="dxa"/>
              <w:end w:w="60" w:type="dxa"/>
            </w:tcMar>
            <w:vAlign w:val="top"/>
          </w:tcPr>
          <w:p>
            <w:pPr>
              <w:widowControl/>
              <w:spacing w:after="0"/>
            </w:pPr>
            <w:hyperlink r:id="rId40">
              <w:r>
                <w:rPr>
                  <w:color w:val="2E5F8A"/>
                  <w:u w:val="single"/>
                  <w:sz w:val="12"/>
                  <w:szCs w:val="12"/>
                  <w:rFonts w:ascii="Arial" w:hAnsi="Arial"/>
                </w:rPr>
                <w:t>https://www.seamensbank.com/</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S31</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Hy-Line Cruises</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Official company and Cape travel offering</w:t>
            </w:r>
          </w:p>
        </w:tc>
        <w:tc>
          <w:tcPr>
            <w:tcW w:type="dxa" w:w="3585"/>
            <w:shd w:fill="FFFFFF"/>
            <w:tcMar>
              <w:top w:w="50" w:type="dxa"/>
              <w:start w:w="60" w:type="dxa"/>
              <w:bottom w:w="50" w:type="dxa"/>
              <w:end w:w="60" w:type="dxa"/>
            </w:tcMar>
            <w:vAlign w:val="top"/>
          </w:tcPr>
          <w:p>
            <w:pPr>
              <w:widowControl/>
              <w:spacing w:after="0"/>
            </w:pPr>
            <w:hyperlink r:id="rId41">
              <w:r>
                <w:rPr>
                  <w:color w:val="2E5F8A"/>
                  <w:u w:val="single"/>
                  <w:sz w:val="12"/>
                  <w:szCs w:val="12"/>
                  <w:rFonts w:ascii="Arial" w:hAnsi="Arial"/>
                </w:rPr>
                <w:t>https://hylinecruises.com/</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S32</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Arbella Insurance Group</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Official company site</w:t>
            </w:r>
          </w:p>
        </w:tc>
        <w:tc>
          <w:tcPr>
            <w:tcW w:type="dxa" w:w="3585"/>
            <w:shd w:fill="F4F7F9"/>
            <w:tcMar>
              <w:top w:w="50" w:type="dxa"/>
              <w:start w:w="60" w:type="dxa"/>
              <w:bottom w:w="50" w:type="dxa"/>
              <w:end w:w="60" w:type="dxa"/>
            </w:tcMar>
            <w:vAlign w:val="top"/>
          </w:tcPr>
          <w:p>
            <w:pPr>
              <w:widowControl/>
              <w:spacing w:after="0"/>
            </w:pPr>
            <w:hyperlink r:id="rId42">
              <w:r>
                <w:rPr>
                  <w:color w:val="2E5F8A"/>
                  <w:u w:val="single"/>
                  <w:sz w:val="12"/>
                  <w:szCs w:val="12"/>
                  <w:rFonts w:ascii="Arial" w:hAnsi="Arial"/>
                </w:rPr>
                <w:t>https://www.arbella.com/</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S33</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Bank of America</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Charitable foundation funding</w:t>
            </w:r>
          </w:p>
        </w:tc>
        <w:tc>
          <w:tcPr>
            <w:tcW w:type="dxa" w:w="3585"/>
            <w:shd w:fill="FFFFFF"/>
            <w:tcMar>
              <w:top w:w="50" w:type="dxa"/>
              <w:start w:w="60" w:type="dxa"/>
              <w:bottom w:w="50" w:type="dxa"/>
              <w:end w:w="60" w:type="dxa"/>
            </w:tcMar>
            <w:vAlign w:val="top"/>
          </w:tcPr>
          <w:p>
            <w:pPr>
              <w:widowControl/>
              <w:spacing w:after="0"/>
            </w:pPr>
            <w:hyperlink r:id="rId43">
              <w:r>
                <w:rPr>
                  <w:color w:val="2E5F8A"/>
                  <w:u w:val="single"/>
                  <w:sz w:val="12"/>
                  <w:szCs w:val="12"/>
                  <w:rFonts w:ascii="Arial" w:hAnsi="Arial"/>
                </w:rPr>
                <w:t>https://about.bankofamerica.com/en/making-an-impact/charitable-foundation-funding</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S34</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Chatham Bars Inn</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Official resort, events and hospitality offering</w:t>
            </w:r>
          </w:p>
        </w:tc>
        <w:tc>
          <w:tcPr>
            <w:tcW w:type="dxa" w:w="3585"/>
            <w:shd w:fill="F4F7F9"/>
            <w:tcMar>
              <w:top w:w="50" w:type="dxa"/>
              <w:start w:w="60" w:type="dxa"/>
              <w:bottom w:w="50" w:type="dxa"/>
              <w:end w:w="60" w:type="dxa"/>
            </w:tcMar>
            <w:vAlign w:val="top"/>
          </w:tcPr>
          <w:p>
            <w:pPr>
              <w:widowControl/>
              <w:spacing w:after="0"/>
            </w:pPr>
            <w:hyperlink r:id="rId44">
              <w:r>
                <w:rPr>
                  <w:color w:val="2E5F8A"/>
                  <w:u w:val="single"/>
                  <w:sz w:val="12"/>
                  <w:szCs w:val="12"/>
                  <w:rFonts w:ascii="Arial" w:hAnsi="Arial"/>
                </w:rPr>
                <w:t>https://www.chathambarsinn.com/</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S35</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Wequassett Resort and Golf Club</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Official resort, events and meeting offering</w:t>
            </w:r>
          </w:p>
        </w:tc>
        <w:tc>
          <w:tcPr>
            <w:tcW w:type="dxa" w:w="3585"/>
            <w:shd w:fill="FFFFFF"/>
            <w:tcMar>
              <w:top w:w="50" w:type="dxa"/>
              <w:start w:w="60" w:type="dxa"/>
              <w:bottom w:w="50" w:type="dxa"/>
              <w:end w:w="60" w:type="dxa"/>
            </w:tcMar>
            <w:vAlign w:val="top"/>
          </w:tcPr>
          <w:p>
            <w:pPr>
              <w:widowControl/>
              <w:spacing w:after="0"/>
            </w:pPr>
            <w:hyperlink r:id="rId45">
              <w:r>
                <w:rPr>
                  <w:color w:val="2E5F8A"/>
                  <w:u w:val="single"/>
                  <w:sz w:val="12"/>
                  <w:szCs w:val="12"/>
                  <w:rFonts w:ascii="Arial" w:hAnsi="Arial"/>
                </w:rPr>
                <w:t>https://wequassett.com/</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S36</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Red Jacket Resorts</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Official Cape Cod resort group</w:t>
            </w:r>
          </w:p>
        </w:tc>
        <w:tc>
          <w:tcPr>
            <w:tcW w:type="dxa" w:w="3585"/>
            <w:shd w:fill="F4F7F9"/>
            <w:tcMar>
              <w:top w:w="50" w:type="dxa"/>
              <w:start w:w="60" w:type="dxa"/>
              <w:bottom w:w="50" w:type="dxa"/>
              <w:end w:w="60" w:type="dxa"/>
            </w:tcMar>
            <w:vAlign w:val="top"/>
          </w:tcPr>
          <w:p>
            <w:pPr>
              <w:widowControl/>
              <w:spacing w:after="0"/>
            </w:pPr>
            <w:hyperlink r:id="rId46">
              <w:r>
                <w:rPr>
                  <w:color w:val="2E5F8A"/>
                  <w:u w:val="single"/>
                  <w:sz w:val="12"/>
                  <w:szCs w:val="12"/>
                  <w:rFonts w:ascii="Arial" w:hAnsi="Arial"/>
                </w:rPr>
                <w:t>https://www.redjacketresorts.com/</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S37</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Puritan Cape Cod</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Official family retail business</w:t>
            </w:r>
          </w:p>
        </w:tc>
        <w:tc>
          <w:tcPr>
            <w:tcW w:type="dxa" w:w="3585"/>
            <w:shd w:fill="FFFFFF"/>
            <w:tcMar>
              <w:top w:w="50" w:type="dxa"/>
              <w:start w:w="60" w:type="dxa"/>
              <w:bottom w:w="50" w:type="dxa"/>
              <w:end w:w="60" w:type="dxa"/>
            </w:tcMar>
            <w:vAlign w:val="top"/>
          </w:tcPr>
          <w:p>
            <w:pPr>
              <w:widowControl/>
              <w:spacing w:after="0"/>
            </w:pPr>
            <w:hyperlink r:id="rId47">
              <w:r>
                <w:rPr>
                  <w:color w:val="2E5F8A"/>
                  <w:u w:val="single"/>
                  <w:sz w:val="12"/>
                  <w:szCs w:val="12"/>
                  <w:rFonts w:ascii="Arial" w:hAnsi="Arial"/>
                </w:rPr>
                <w:t>https://puritancapecod.com/</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S38</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Coldwell Banker Realty</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Cape Cod office and market presence</w:t>
            </w:r>
          </w:p>
        </w:tc>
        <w:tc>
          <w:tcPr>
            <w:tcW w:type="dxa" w:w="3585"/>
            <w:shd w:fill="F4F7F9"/>
            <w:tcMar>
              <w:top w:w="50" w:type="dxa"/>
              <w:start w:w="60" w:type="dxa"/>
              <w:bottom w:w="50" w:type="dxa"/>
              <w:end w:w="60" w:type="dxa"/>
            </w:tcMar>
            <w:vAlign w:val="top"/>
          </w:tcPr>
          <w:p>
            <w:pPr>
              <w:widowControl/>
              <w:spacing w:after="0"/>
            </w:pPr>
            <w:hyperlink r:id="rId48">
              <w:r>
                <w:rPr>
                  <w:color w:val="2E5F8A"/>
                  <w:u w:val="single"/>
                  <w:sz w:val="12"/>
                  <w:szCs w:val="12"/>
                  <w:rFonts w:ascii="Arial" w:hAnsi="Arial"/>
                </w:rPr>
                <w:t>https://www.coldwellbankerhomes.com/ma/cape-cod/</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S39</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Monomoy Real Estate and Construction</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Current managing partner and CCCC Foundation relationship</w:t>
            </w:r>
          </w:p>
        </w:tc>
        <w:tc>
          <w:tcPr>
            <w:tcW w:type="dxa" w:w="3585"/>
            <w:shd w:fill="FFFFFF"/>
            <w:tcMar>
              <w:top w:w="50" w:type="dxa"/>
              <w:start w:w="60" w:type="dxa"/>
              <w:bottom w:w="50" w:type="dxa"/>
              <w:end w:w="60" w:type="dxa"/>
            </w:tcMar>
            <w:vAlign w:val="top"/>
          </w:tcPr>
          <w:p>
            <w:pPr>
              <w:widowControl/>
              <w:spacing w:after="0"/>
            </w:pPr>
            <w:hyperlink r:id="rId12">
              <w:r>
                <w:rPr>
                  <w:color w:val="2E5F8A"/>
                  <w:u w:val="single"/>
                  <w:sz w:val="12"/>
                  <w:szCs w:val="12"/>
                  <w:rFonts w:ascii="Arial" w:hAnsi="Arial"/>
                </w:rPr>
                <w:t>https://ccccfoundation.org/board-of-directors/</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S40</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Glivinski &amp; Associates / Silva Accounting</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Current owner and CCCC Foundation relationship</w:t>
            </w:r>
          </w:p>
        </w:tc>
        <w:tc>
          <w:tcPr>
            <w:tcW w:type="dxa" w:w="3585"/>
            <w:shd w:fill="F4F7F9"/>
            <w:tcMar>
              <w:top w:w="50" w:type="dxa"/>
              <w:start w:w="60" w:type="dxa"/>
              <w:bottom w:w="50" w:type="dxa"/>
              <w:end w:w="60" w:type="dxa"/>
            </w:tcMar>
            <w:vAlign w:val="top"/>
          </w:tcPr>
          <w:p>
            <w:pPr>
              <w:widowControl/>
              <w:spacing w:after="0"/>
            </w:pPr>
            <w:hyperlink r:id="rId12">
              <w:r>
                <w:rPr>
                  <w:color w:val="2E5F8A"/>
                  <w:u w:val="single"/>
                  <w:sz w:val="12"/>
                  <w:szCs w:val="12"/>
                  <w:rFonts w:ascii="Arial" w:hAnsi="Arial"/>
                </w:rPr>
                <w:t>https://ccccfoundation.org/board-of-directors/</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S41</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Northeast Advisors / 1620 Capital</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Current president, Cape offices and documented arts interest</w:t>
            </w:r>
          </w:p>
        </w:tc>
        <w:tc>
          <w:tcPr>
            <w:tcW w:type="dxa" w:w="3585"/>
            <w:shd w:fill="FFFFFF"/>
            <w:tcMar>
              <w:top w:w="50" w:type="dxa"/>
              <w:start w:w="60" w:type="dxa"/>
              <w:bottom w:w="50" w:type="dxa"/>
              <w:end w:w="60" w:type="dxa"/>
            </w:tcMar>
            <w:vAlign w:val="top"/>
          </w:tcPr>
          <w:p>
            <w:pPr>
              <w:widowControl/>
              <w:spacing w:after="0"/>
            </w:pPr>
            <w:hyperlink r:id="rId12">
              <w:r>
                <w:rPr>
                  <w:color w:val="2E5F8A"/>
                  <w:u w:val="single"/>
                  <w:sz w:val="12"/>
                  <w:szCs w:val="12"/>
                  <w:rFonts w:ascii="Arial" w:hAnsi="Arial"/>
                </w:rPr>
                <w:t>https://ccccfoundation.org/board-of-directors/</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S42</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Sullivan, Garrity &amp; Donnelly Insurance</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Partner and CCCC Foundation relationship</w:t>
            </w:r>
          </w:p>
        </w:tc>
        <w:tc>
          <w:tcPr>
            <w:tcW w:type="dxa" w:w="3585"/>
            <w:shd w:fill="F4F7F9"/>
            <w:tcMar>
              <w:top w:w="50" w:type="dxa"/>
              <w:start w:w="60" w:type="dxa"/>
              <w:bottom w:w="50" w:type="dxa"/>
              <w:end w:w="60" w:type="dxa"/>
            </w:tcMar>
            <w:vAlign w:val="top"/>
          </w:tcPr>
          <w:p>
            <w:pPr>
              <w:widowControl/>
              <w:spacing w:after="0"/>
            </w:pPr>
            <w:hyperlink r:id="rId12">
              <w:r>
                <w:rPr>
                  <w:color w:val="2E5F8A"/>
                  <w:u w:val="single"/>
                  <w:sz w:val="12"/>
                  <w:szCs w:val="12"/>
                  <w:rFonts w:ascii="Arial" w:hAnsi="Arial"/>
                </w:rPr>
                <w:t>https://ccccfoundation.org/board-of-directors/</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S43</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Nauset Rental</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Official Cape Cod holiday-rental business</w:t>
            </w:r>
          </w:p>
        </w:tc>
        <w:tc>
          <w:tcPr>
            <w:tcW w:type="dxa" w:w="3585"/>
            <w:shd w:fill="FFFFFF"/>
            <w:tcMar>
              <w:top w:w="50" w:type="dxa"/>
              <w:start w:w="60" w:type="dxa"/>
              <w:bottom w:w="50" w:type="dxa"/>
              <w:end w:w="60" w:type="dxa"/>
            </w:tcMar>
            <w:vAlign w:val="top"/>
          </w:tcPr>
          <w:p>
            <w:pPr>
              <w:widowControl/>
              <w:spacing w:after="0"/>
            </w:pPr>
            <w:hyperlink r:id="rId49">
              <w:r>
                <w:rPr>
                  <w:color w:val="2E5F8A"/>
                  <w:u w:val="single"/>
                  <w:sz w:val="12"/>
                  <w:szCs w:val="12"/>
                  <w:rFonts w:ascii="Arial" w:hAnsi="Arial"/>
                </w:rPr>
                <w:t>https://www.nausetrental.com/</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S44</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Provincetown Marina</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Official marina business</w:t>
            </w:r>
          </w:p>
        </w:tc>
        <w:tc>
          <w:tcPr>
            <w:tcW w:type="dxa" w:w="3585"/>
            <w:shd w:fill="F4F7F9"/>
            <w:tcMar>
              <w:top w:w="50" w:type="dxa"/>
              <w:start w:w="60" w:type="dxa"/>
              <w:bottom w:w="50" w:type="dxa"/>
              <w:end w:w="60" w:type="dxa"/>
            </w:tcMar>
            <w:vAlign w:val="top"/>
          </w:tcPr>
          <w:p>
            <w:pPr>
              <w:widowControl/>
              <w:spacing w:after="0"/>
            </w:pPr>
            <w:hyperlink r:id="rId50">
              <w:r>
                <w:rPr>
                  <w:color w:val="2E5F8A"/>
                  <w:u w:val="single"/>
                  <w:sz w:val="12"/>
                  <w:szCs w:val="12"/>
                  <w:rFonts w:ascii="Arial" w:hAnsi="Arial"/>
                </w:rPr>
                <w:t>https://ptownmarina.com/</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S45</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Dolphin Fleet Whale Watch</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Official whale-watch operator</w:t>
            </w:r>
          </w:p>
        </w:tc>
        <w:tc>
          <w:tcPr>
            <w:tcW w:type="dxa" w:w="3585"/>
            <w:shd w:fill="FFFFFF"/>
            <w:tcMar>
              <w:top w:w="50" w:type="dxa"/>
              <w:start w:w="60" w:type="dxa"/>
              <w:bottom w:w="50" w:type="dxa"/>
              <w:end w:w="60" w:type="dxa"/>
            </w:tcMar>
            <w:vAlign w:val="top"/>
          </w:tcPr>
          <w:p>
            <w:pPr>
              <w:widowControl/>
              <w:spacing w:after="0"/>
            </w:pPr>
            <w:hyperlink r:id="rId51">
              <w:r>
                <w:rPr>
                  <w:color w:val="2E5F8A"/>
                  <w:u w:val="single"/>
                  <w:sz w:val="12"/>
                  <w:szCs w:val="12"/>
                  <w:rFonts w:ascii="Arial" w:hAnsi="Arial"/>
                </w:rPr>
                <w:t>https://whalewatch.com/</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S46</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Bay State Cruise Company</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Official Boston-Provincetown ferry service</w:t>
            </w:r>
          </w:p>
        </w:tc>
        <w:tc>
          <w:tcPr>
            <w:tcW w:type="dxa" w:w="3585"/>
            <w:shd w:fill="F4F7F9"/>
            <w:tcMar>
              <w:top w:w="50" w:type="dxa"/>
              <w:start w:w="60" w:type="dxa"/>
              <w:bottom w:w="50" w:type="dxa"/>
              <w:end w:w="60" w:type="dxa"/>
            </w:tcMar>
            <w:vAlign w:val="top"/>
          </w:tcPr>
          <w:p>
            <w:pPr>
              <w:widowControl/>
              <w:spacing w:after="0"/>
            </w:pPr>
            <w:hyperlink r:id="rId52">
              <w:r>
                <w:rPr>
                  <w:color w:val="2E5F8A"/>
                  <w:u w:val="single"/>
                  <w:sz w:val="12"/>
                  <w:szCs w:val="12"/>
                  <w:rFonts w:ascii="Arial" w:hAnsi="Arial"/>
                </w:rPr>
                <w:t>https://baystatecruisecompany.com/</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S47</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Schoolhouse Construction</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Official Cape Cod construction business</w:t>
            </w:r>
          </w:p>
        </w:tc>
        <w:tc>
          <w:tcPr>
            <w:tcW w:type="dxa" w:w="3585"/>
            <w:shd w:fill="FFFFFF"/>
            <w:tcMar>
              <w:top w:w="50" w:type="dxa"/>
              <w:start w:w="60" w:type="dxa"/>
              <w:bottom w:w="50" w:type="dxa"/>
              <w:end w:w="60" w:type="dxa"/>
            </w:tcMar>
            <w:vAlign w:val="top"/>
          </w:tcPr>
          <w:p>
            <w:pPr>
              <w:widowControl/>
              <w:spacing w:after="0"/>
            </w:pPr>
            <w:hyperlink r:id="rId53">
              <w:r>
                <w:rPr>
                  <w:color w:val="2E5F8A"/>
                  <w:u w:val="single"/>
                  <w:sz w:val="12"/>
                  <w:szCs w:val="12"/>
                  <w:rFonts w:ascii="Arial" w:hAnsi="Arial"/>
                </w:rPr>
                <w:t>https://schoolhouseconstruction.com/</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S48</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RogersGray / The Baldwin Group</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Official regional insurance brokerage page</w:t>
            </w:r>
          </w:p>
        </w:tc>
        <w:tc>
          <w:tcPr>
            <w:tcW w:type="dxa" w:w="3585"/>
            <w:shd w:fill="F4F7F9"/>
            <w:tcMar>
              <w:top w:w="50" w:type="dxa"/>
              <w:start w:w="60" w:type="dxa"/>
              <w:bottom w:w="50" w:type="dxa"/>
              <w:end w:w="60" w:type="dxa"/>
            </w:tcMar>
            <w:vAlign w:val="top"/>
          </w:tcPr>
          <w:p>
            <w:pPr>
              <w:widowControl/>
              <w:spacing w:after="0"/>
            </w:pPr>
            <w:hyperlink r:id="rId54">
              <w:r>
                <w:rPr>
                  <w:color w:val="2E5F8A"/>
                  <w:u w:val="single"/>
                  <w:sz w:val="12"/>
                  <w:szCs w:val="12"/>
                  <w:rFonts w:ascii="Arial" w:hAnsi="Arial"/>
                </w:rPr>
                <w:t>https://baldwin.com/rogersgray/</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S49</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Cape Cod Foundation</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2026 competitive grant programmes and dates</w:t>
            </w:r>
          </w:p>
        </w:tc>
        <w:tc>
          <w:tcPr>
            <w:tcW w:type="dxa" w:w="3585"/>
            <w:shd w:fill="FFFFFF"/>
            <w:tcMar>
              <w:top w:w="50" w:type="dxa"/>
              <w:start w:w="60" w:type="dxa"/>
              <w:bottom w:w="50" w:type="dxa"/>
              <w:end w:w="60" w:type="dxa"/>
            </w:tcMar>
            <w:vAlign w:val="top"/>
          </w:tcPr>
          <w:p>
            <w:pPr>
              <w:widowControl/>
              <w:spacing w:after="0"/>
            </w:pPr>
            <w:hyperlink r:id="rId55">
              <w:r>
                <w:rPr>
                  <w:color w:val="2E5F8A"/>
                  <w:u w:val="single"/>
                  <w:sz w:val="12"/>
                  <w:szCs w:val="12"/>
                  <w:rFonts w:ascii="Arial" w:hAnsi="Arial"/>
                </w:rPr>
                <w:t>https://www.capecodfoundation.org/competitive-grant-programs-overview/</w:t>
              </w:r>
            </w:hyperlink>
          </w:p>
        </w:tc>
      </w:tr>
      <w:tr>
        <w:trPr>
          <w:cantSplit/>
        </w:trPr>
        <w:tc>
          <w:tcPr>
            <w:tcW w:type="dxa" w:w="3585"/>
            <w:shd w:fill="F4F7F9"/>
            <w:tcMar>
              <w:top w:w="50" w:type="dxa"/>
              <w:start w:w="60" w:type="dxa"/>
              <w:bottom w:w="50" w:type="dxa"/>
              <w:end w:w="60" w:type="dxa"/>
            </w:tcMar>
            <w:vAlign w:val="top"/>
          </w:tcPr>
          <w:p>
            <w:pPr>
              <w:widowControl/>
            </w:pPr>
            <w:r>
              <w:rPr>
                <w:rFonts w:ascii="Arial" w:hAnsi="Arial"/>
                <w:b/>
                <w:i w:val="0"/>
                <w:color w:val="2E5F8A"/>
                <w:sz w:val="13"/>
              </w:rPr>
              <w:t>S50</w:t>
            </w:r>
          </w:p>
        </w:tc>
        <w:tc>
          <w:tcPr>
            <w:tcW w:type="dxa" w:w="3585"/>
            <w:shd w:fill="F4F7F9"/>
            <w:tcMar>
              <w:top w:w="50" w:type="dxa"/>
              <w:start w:w="60" w:type="dxa"/>
              <w:bottom w:w="50" w:type="dxa"/>
              <w:end w:w="60" w:type="dxa"/>
            </w:tcMar>
            <w:vAlign w:val="top"/>
          </w:tcPr>
          <w:p>
            <w:pPr>
              <w:widowControl/>
            </w:pPr>
            <w:r>
              <w:rPr>
                <w:rFonts w:ascii="Arial" w:hAnsi="Arial"/>
                <w:b/>
                <w:i w:val="0"/>
                <w:color w:val="17324D"/>
                <w:sz w:val="13"/>
              </w:rPr>
              <w:t>Cape Cod Foundation</w:t>
            </w:r>
          </w:p>
        </w:tc>
        <w:tc>
          <w:tcPr>
            <w:tcW w:type="dxa" w:w="3585"/>
            <w:shd w:fill="F4F7F9"/>
            <w:tcMar>
              <w:top w:w="50" w:type="dxa"/>
              <w:start w:w="60" w:type="dxa"/>
              <w:bottom w:w="50" w:type="dxa"/>
              <w:end w:w="60" w:type="dxa"/>
            </w:tcMar>
            <w:vAlign w:val="top"/>
          </w:tcPr>
          <w:p>
            <w:pPr>
              <w:widowControl/>
            </w:pPr>
            <w:r>
              <w:rPr>
                <w:rFonts w:ascii="Arial" w:hAnsi="Arial"/>
                <w:b w:val="0"/>
                <w:i w:val="0"/>
                <w:color w:val="1F2933"/>
                <w:sz w:val="13"/>
              </w:rPr>
              <w:t>Current staff and leadership</w:t>
            </w:r>
          </w:p>
        </w:tc>
        <w:tc>
          <w:tcPr>
            <w:tcW w:type="dxa" w:w="3585"/>
            <w:shd w:fill="F4F7F9"/>
            <w:tcMar>
              <w:top w:w="50" w:type="dxa"/>
              <w:start w:w="60" w:type="dxa"/>
              <w:bottom w:w="50" w:type="dxa"/>
              <w:end w:w="60" w:type="dxa"/>
            </w:tcMar>
            <w:vAlign w:val="top"/>
          </w:tcPr>
          <w:p>
            <w:pPr>
              <w:widowControl/>
              <w:spacing w:after="0"/>
            </w:pPr>
            <w:hyperlink r:id="rId56">
              <w:r>
                <w:rPr>
                  <w:color w:val="2E5F8A"/>
                  <w:u w:val="single"/>
                  <w:sz w:val="12"/>
                  <w:szCs w:val="12"/>
                  <w:rFonts w:ascii="Arial" w:hAnsi="Arial"/>
                </w:rPr>
                <w:t>https://www.capecodfoundation.org/team-staff/</w:t>
              </w:r>
            </w:hyperlink>
          </w:p>
        </w:tc>
      </w:tr>
      <w:tr>
        <w:trPr>
          <w:cantSplit/>
        </w:trPr>
        <w:tc>
          <w:tcPr>
            <w:tcW w:type="dxa" w:w="3585"/>
            <w:shd w:fill="FFFFFF"/>
            <w:tcMar>
              <w:top w:w="50" w:type="dxa"/>
              <w:start w:w="60" w:type="dxa"/>
              <w:bottom w:w="50" w:type="dxa"/>
              <w:end w:w="60" w:type="dxa"/>
            </w:tcMar>
            <w:vAlign w:val="top"/>
          </w:tcPr>
          <w:p>
            <w:pPr>
              <w:widowControl/>
            </w:pPr>
            <w:r>
              <w:rPr>
                <w:rFonts w:ascii="Arial" w:hAnsi="Arial"/>
                <w:b/>
                <w:i w:val="0"/>
                <w:color w:val="2E5F8A"/>
                <w:sz w:val="13"/>
              </w:rPr>
              <w:t>S51</w:t>
            </w:r>
          </w:p>
        </w:tc>
        <w:tc>
          <w:tcPr>
            <w:tcW w:type="dxa" w:w="3585"/>
            <w:shd w:fill="FFFFFF"/>
            <w:tcMar>
              <w:top w:w="50" w:type="dxa"/>
              <w:start w:w="60" w:type="dxa"/>
              <w:bottom w:w="50" w:type="dxa"/>
              <w:end w:w="60" w:type="dxa"/>
            </w:tcMar>
            <w:vAlign w:val="top"/>
          </w:tcPr>
          <w:p>
            <w:pPr>
              <w:widowControl/>
            </w:pPr>
            <w:r>
              <w:rPr>
                <w:rFonts w:ascii="Arial" w:hAnsi="Arial"/>
                <w:b/>
                <w:i w:val="0"/>
                <w:color w:val="17324D"/>
                <w:sz w:val="13"/>
              </w:rPr>
              <w:t>Eversource</w:t>
            </w:r>
          </w:p>
        </w:tc>
        <w:tc>
          <w:tcPr>
            <w:tcW w:type="dxa" w:w="3585"/>
            <w:shd w:fill="FFFFFF"/>
            <w:tcMar>
              <w:top w:w="50" w:type="dxa"/>
              <w:start w:w="60" w:type="dxa"/>
              <w:bottom w:w="50" w:type="dxa"/>
              <w:end w:w="60" w:type="dxa"/>
            </w:tcMar>
            <w:vAlign w:val="top"/>
          </w:tcPr>
          <w:p>
            <w:pPr>
              <w:widowControl/>
            </w:pPr>
            <w:r>
              <w:rPr>
                <w:rFonts w:ascii="Arial" w:hAnsi="Arial"/>
                <w:b w:val="0"/>
                <w:i w:val="0"/>
                <w:color w:val="1F2933"/>
                <w:sz w:val="13"/>
              </w:rPr>
              <w:t>Community support information</w:t>
            </w:r>
          </w:p>
        </w:tc>
        <w:tc>
          <w:tcPr>
            <w:tcW w:type="dxa" w:w="3585"/>
            <w:shd w:fill="FFFFFF"/>
            <w:tcMar>
              <w:top w:w="50" w:type="dxa"/>
              <w:start w:w="60" w:type="dxa"/>
              <w:bottom w:w="50" w:type="dxa"/>
              <w:end w:w="60" w:type="dxa"/>
            </w:tcMar>
            <w:vAlign w:val="top"/>
          </w:tcPr>
          <w:p>
            <w:pPr>
              <w:widowControl/>
              <w:spacing w:after="0"/>
            </w:pPr>
            <w:hyperlink r:id="rId57">
              <w:r>
                <w:rPr>
                  <w:color w:val="2E5F8A"/>
                  <w:u w:val="single"/>
                  <w:sz w:val="12"/>
                  <w:szCs w:val="12"/>
                  <w:rFonts w:ascii="Arial" w:hAnsi="Arial"/>
                </w:rPr>
                <w:t>https://www.eversource.com/content/residential/about/community-support</w:t>
              </w:r>
            </w:hyperlink>
          </w:p>
        </w:tc>
      </w:tr>
    </w:tbl>
    <w:p>
      <w:r>
        <w:br w:type="page"/>
      </w:r>
    </w:p>
    <w:p>
      <w:pPr>
        <w:pStyle w:val="Heading1"/>
        <w:keepNext/>
      </w:pPr>
      <w:r>
        <w:t>Appendix B. Verification notes and limitations</w:t>
      </w:r>
    </w:p>
    <w:p>
      <w:pPr>
        <w:spacing w:after="80"/>
      </w:pPr>
      <w:r>
        <w:rPr>
          <w:rFonts w:ascii="Arial" w:hAnsi="Arial"/>
          <w:b/>
          <w:i w:val="0"/>
          <w:color w:val="17324D"/>
          <w:sz w:val="18"/>
        </w:rPr>
        <w:t xml:space="preserve">Public sponsor listings: </w:t>
      </w:r>
      <w:r>
        <w:rPr>
          <w:rFonts w:ascii="Arial" w:hAnsi="Arial"/>
          <w:b w:val="0"/>
          <w:i w:val="0"/>
          <w:color w:val="1F2933"/>
          <w:sz w:val="18"/>
        </w:rPr>
        <w:t>A logo or “supporter” listing establishes public association with the named organisation. It does not, by itself, establish the amount, cash/in-kind split, contract terms or decision-maker.</w:t>
      </w:r>
    </w:p>
    <w:p>
      <w:pPr>
        <w:spacing w:after="80"/>
      </w:pPr>
      <w:r>
        <w:rPr>
          <w:rFonts w:ascii="Arial" w:hAnsi="Arial"/>
          <w:b/>
          <w:i w:val="0"/>
          <w:color w:val="17324D"/>
          <w:sz w:val="18"/>
        </w:rPr>
        <w:t xml:space="preserve">Amounts: </w:t>
      </w:r>
      <w:r>
        <w:rPr>
          <w:rFonts w:ascii="Arial" w:hAnsi="Arial"/>
          <w:b w:val="0"/>
          <w:i w:val="0"/>
          <w:color w:val="1F2933"/>
          <w:sz w:val="18"/>
        </w:rPr>
        <w:t>Where a specific amount was not public, the report says “amount not publicly disclosed”. Organisation-wide annual giving totals are not assumed to equal the amount available for this event.</w:t>
      </w:r>
    </w:p>
    <w:p>
      <w:pPr>
        <w:spacing w:after="80"/>
      </w:pPr>
      <w:r>
        <w:rPr>
          <w:rFonts w:ascii="Arial" w:hAnsi="Arial"/>
          <w:b/>
          <w:i w:val="0"/>
          <w:color w:val="17324D"/>
          <w:sz w:val="18"/>
        </w:rPr>
        <w:t xml:space="preserve">Decision-holders: </w:t>
      </w:r>
      <w:r>
        <w:rPr>
          <w:rFonts w:ascii="Arial" w:hAnsi="Arial"/>
          <w:b w:val="0"/>
          <w:i w:val="0"/>
          <w:color w:val="1F2933"/>
          <w:sz w:val="18"/>
        </w:rPr>
        <w:t>A named executive or community-relations officer is the best supported route found publicly; this is not confirmation that the individual personally holds final authority for US$17,500. For several private businesses, the responsible individual was not findable and is explicitly marked as such.</w:t>
      </w:r>
    </w:p>
    <w:p>
      <w:pPr>
        <w:spacing w:after="80"/>
      </w:pPr>
      <w:r>
        <w:rPr>
          <w:rFonts w:ascii="Arial" w:hAnsi="Arial"/>
          <w:b/>
          <w:i w:val="0"/>
          <w:color w:val="17324D"/>
          <w:sz w:val="18"/>
        </w:rPr>
        <w:t xml:space="preserve">No-evidence findings: </w:t>
      </w:r>
      <w:r>
        <w:rPr>
          <w:rFonts w:ascii="Arial" w:hAnsi="Arial"/>
          <w:b w:val="0"/>
          <w:i w:val="0"/>
          <w:color w:val="1F2933"/>
          <w:sz w:val="18"/>
        </w:rPr>
        <w:t>“No public evidence was located” means none was found in the official and Cape nonprofit sources reviewed for this report. It is not proof that no donation or sponsorship occurred.</w:t>
      </w:r>
    </w:p>
    <w:p>
      <w:pPr>
        <w:spacing w:after="80"/>
      </w:pPr>
      <w:r>
        <w:rPr>
          <w:rFonts w:ascii="Arial" w:hAnsi="Arial"/>
          <w:b/>
          <w:i w:val="0"/>
          <w:color w:val="17324D"/>
          <w:sz w:val="18"/>
        </w:rPr>
        <w:t xml:space="preserve">Timing: </w:t>
      </w:r>
      <w:r>
        <w:rPr>
          <w:rFonts w:ascii="Arial" w:hAnsi="Arial"/>
          <w:b w:val="0"/>
          <w:i w:val="0"/>
          <w:color w:val="1F2933"/>
          <w:sz w:val="18"/>
        </w:rPr>
        <w:t>Published application times are minimum planning assumptions. A warm senior introduction may produce an exception, but no exception should be assumed until confirmed in writing.</w:t>
      </w:r>
    </w:p>
    <w:p>
      <w:pPr>
        <w:spacing w:after="80"/>
      </w:pPr>
      <w:r>
        <w:rPr>
          <w:rFonts w:ascii="Arial" w:hAnsi="Arial"/>
          <w:b/>
          <w:i w:val="0"/>
          <w:color w:val="17324D"/>
          <w:sz w:val="18"/>
        </w:rPr>
        <w:t xml:space="preserve">Tax and legal status: </w:t>
      </w:r>
      <w:r>
        <w:rPr>
          <w:rFonts w:ascii="Arial" w:hAnsi="Arial"/>
          <w:b w:val="0"/>
          <w:i w:val="0"/>
          <w:color w:val="1F2933"/>
          <w:sz w:val="18"/>
        </w:rPr>
        <w:t>The client brief states that the organiser has not yet received federal 501(c)(3) determination. This report therefore prioritises commercial sponsorship and does not provide tax or legal advice.</w:t>
      </w:r>
    </w:p>
    <w:p>
      <w:pPr>
        <w:spacing w:after="80"/>
      </w:pPr>
      <w:r>
        <w:rPr>
          <w:rFonts w:ascii="Arial" w:hAnsi="Arial"/>
          <w:b/>
          <w:i w:val="0"/>
          <w:color w:val="17324D"/>
          <w:sz w:val="18"/>
        </w:rPr>
        <w:t xml:space="preserve">Talent and confidential details: </w:t>
      </w:r>
      <w:r>
        <w:rPr>
          <w:rFonts w:ascii="Arial" w:hAnsi="Arial"/>
          <w:b w:val="0"/>
          <w:i w:val="0"/>
          <w:color w:val="1F2933"/>
          <w:sz w:val="18"/>
        </w:rPr>
        <w:t>No unconfirmed performer names, founder identity, company-name explanation, stage benefit or recording package is included.</w:t>
      </w:r>
    </w:p>
    <w:p>
      <w:pPr>
        <w:pStyle w:val="Heading2"/>
        <w:keepNext/>
      </w:pPr>
      <w:r>
        <w:t>Bottom line</w:t>
      </w:r>
    </w:p>
    <w:tbl>
      <w:tblPr>
        <w:tblW w:type="auto" w:w="0"/>
        <w:jc w:val="center"/>
        <w:tblLook w:firstColumn="1" w:firstRow="1" w:lastColumn="0" w:lastRow="0" w:noHBand="0" w:noVBand="1" w:val="04A0"/>
        <w:tblBorders>
          <w:top w:val="single" w:sz="6" w:space="0" w:color="8FB1C3"/>
          <w:left w:val="single" w:sz="6" w:space="0" w:color="8FB1C3"/>
          <w:bottom w:val="single" w:sz="6" w:space="0" w:color="8FB1C3"/>
          <w:right w:val="single" w:sz="6" w:space="0" w:color="8FB1C3"/>
          <w:insideH w:val="single" w:sz="6" w:space="0" w:color="8FB1C3"/>
          <w:insideV w:val="single" w:sz="6" w:space="0" w:color="8FB1C3"/>
        </w:tblBorders>
      </w:tblPr>
      <w:tblGrid>
        <w:gridCol w:w="14342"/>
      </w:tblGrid>
      <w:tr>
        <w:tc>
          <w:tcPr>
            <w:tcW w:type="dxa" w:w="14342"/>
            <w:shd w:fill="DDEAF2"/>
            <w:tcMar>
              <w:top w:w="130" w:type="dxa"/>
              <w:start w:w="150" w:type="dxa"/>
              <w:bottom w:w="130" w:type="dxa"/>
              <w:end w:w="150" w:type="dxa"/>
            </w:tcMar>
          </w:tcPr>
          <w:p>
            <w:pPr>
              <w:widowControl/>
            </w:pPr>
            <w:r>
              <w:rPr>
                <w:rFonts w:ascii="Arial" w:hAnsi="Arial"/>
                <w:b/>
                <w:i w:val="0"/>
                <w:color w:val="17324D"/>
                <w:sz w:val="21"/>
              </w:rPr>
              <w:t>Concentrate nearly all immediate effort on the first five prospects and on the people who can introduce them. A warm route to a good fit is more valuable than a cold route to a theoretically perfect sponsor. If no top-five prospect can identify a senior decision path within 72 hours, move down the list quickly and begin positioning the formal programmes for 2027.</w:t>
            </w:r>
          </w:p>
        </w:tc>
      </w:tr>
    </w:tbl>
    <w:sectPr w:rsidR="00FC693F" w:rsidRPr="0006063C" w:rsidSect="00034616">
      <w:headerReference w:type="default" r:id="rId9"/>
      <w:footerReference w:type="default" r:id="rId10"/>
      <w:pgSz w:w="15840" w:h="12240" w:orient="landscape"/>
      <w:pgMar w:top="691" w:right="749" w:bottom="691" w:left="74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27C"/>
        <w:sz w:val="16"/>
      </w:rPr>
      <w:t xml:space="preserve">Page </w:t>
    </w:r>
    <w:r>
      <w:rPr>
        <w:rFonts w:ascii="Arial" w:hAnsi="Arial"/>
        <w:sz w:val="16"/>
        <w:color w:val="66727C"/>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2F6B72"/>
        <w:sz w:val="15"/>
      </w:rPr>
      <w:t>THE 1140-a COMPANY  |  EXCLUSIVE SPONSOR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2F6B72"/>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b w:val="0"/>
      <w:i/>
      <w:iCs/>
      <w:color w:val="2F6B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line="240" w:lineRule="auto"/>
    </w:pPr>
    <w:rPr>
      <w:rFonts w:ascii="Arial" w:hAnsi="Arial"/>
      <w:color w:val="66727C"/>
      <w:sz w:val="15"/>
    </w:rPr>
  </w:style>
  <w:style w:type="paragraph" w:customStyle="1" w:styleId="SourceText">
    <w:name w:val="Source Text"/>
    <w:pPr>
      <w:spacing w:after="0" w:line="228" w:lineRule="auto"/>
    </w:pPr>
    <w:rPr>
      <w:rFonts w:ascii="Arial" w:hAnsi="Arial"/>
      <w:color w:val="1F2933"/>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cccfoundation.org/golf-tournament/" TargetMode="External"/><Relationship Id="rId12" Type="http://schemas.openxmlformats.org/officeDocument/2006/relationships/hyperlink" Target="https://ccccfoundation.org/board-of-directors/" TargetMode="External"/><Relationship Id="rId13" Type="http://schemas.openxmlformats.org/officeDocument/2006/relationships/hyperlink" Target="https://capeplayhouse.com/" TargetMode="External"/><Relationship Id="rId14" Type="http://schemas.openxmlformats.org/officeDocument/2006/relationships/hyperlink" Target="https://www.artsfoundation.org/arts-gala" TargetMode="External"/><Relationship Id="rId15" Type="http://schemas.openxmlformats.org/officeDocument/2006/relationships/hyperlink" Target="https://capecodtheatrecompany.org/" TargetMode="External"/><Relationship Id="rId16" Type="http://schemas.openxmlformats.org/officeDocument/2006/relationships/hyperlink" Target="https://coastalstudies.org/" TargetMode="External"/><Relationship Id="rId17" Type="http://schemas.openxmlformats.org/officeDocument/2006/relationships/hyperlink" Target="https://heritagemuseumsandgardens.org/" TargetMode="External"/><Relationship Id="rId18" Type="http://schemas.openxmlformats.org/officeDocument/2006/relationships/hyperlink" Target="https://www.atlanticwhiteshark.org/sponsor" TargetMode="External"/><Relationship Id="rId19" Type="http://schemas.openxmlformats.org/officeDocument/2006/relationships/hyperlink" Target="https://www.capecodfive.com/community-support-applications" TargetMode="External"/><Relationship Id="rId20" Type="http://schemas.openxmlformats.org/officeDocument/2006/relationships/hyperlink" Target="https://www.capecodfive.com/2025-impact-report" TargetMode="External"/><Relationship Id="rId21" Type="http://schemas.openxmlformats.org/officeDocument/2006/relationships/hyperlink" Target="https://www.capeandcoastbank.com/about-us/community-giving/charitable-giving/" TargetMode="External"/><Relationship Id="rId22" Type="http://schemas.openxmlformats.org/officeDocument/2006/relationships/hyperlink" Target="https://www.capeandcoastbank.com/cape-coast-bank-reports-strong-growth-community-impact-at-annual-meeting/" TargetMode="External"/><Relationship Id="rId23" Type="http://schemas.openxmlformats.org/officeDocument/2006/relationships/hyperlink" Target="https://www.rocklandtrust.com/about-us/community-giving" TargetMode="External"/><Relationship Id="rId24" Type="http://schemas.openxmlformats.org/officeDocument/2006/relationships/hyperlink" Target="https://www.rocklandtrust.com/about-us/explore/leadership" TargetMode="External"/><Relationship Id="rId25" Type="http://schemas.openxmlformats.org/officeDocument/2006/relationships/hyperlink" Target="https://www.capeair.com/about_us/Leadership/Leadership.html" TargetMode="External"/><Relationship Id="rId26" Type="http://schemas.openxmlformats.org/officeDocument/2006/relationships/hyperlink" Target="https://www.capeair.com/about_us/giving-back.html" TargetMode="External"/><Relationship Id="rId27" Type="http://schemas.openxmlformats.org/officeDocument/2006/relationships/hyperlink" Target="https://www.tighebond.com/who-we-are/our-leadership/" TargetMode="External"/><Relationship Id="rId28" Type="http://schemas.openxmlformats.org/officeDocument/2006/relationships/hyperlink" Target="https://www.tighebond.com/who-we-are/giving-back/" TargetMode="External"/><Relationship Id="rId29" Type="http://schemas.openxmlformats.org/officeDocument/2006/relationships/hyperlink" Target="https://www.capecodhealth.org/about/senior-leadership/" TargetMode="External"/><Relationship Id="rId30" Type="http://schemas.openxmlformats.org/officeDocument/2006/relationships/hyperlink" Target="https://www.capecodhealth.org/about/caring-for-our-community/" TargetMode="External"/><Relationship Id="rId31" Type="http://schemas.openxmlformats.org/officeDocument/2006/relationships/hyperlink" Target="https://thedavenportcompanies.com/charitable-giving/" TargetMode="External"/><Relationship Id="rId32" Type="http://schemas.openxmlformats.org/officeDocument/2006/relationships/hyperlink" Target="https://thedavenportcompanies.com/" TargetMode="External"/><Relationship Id="rId33" Type="http://schemas.openxmlformats.org/officeDocument/2006/relationships/hyperlink" Target="https://www.capeassociates.com/philanthropy" TargetMode="External"/><Relationship Id="rId34" Type="http://schemas.openxmlformats.org/officeDocument/2006/relationships/hyperlink" Target="https://www.capeassociates.com/our-team" TargetMode="External"/><Relationship Id="rId35" Type="http://schemas.openxmlformats.org/officeDocument/2006/relationships/hyperlink" Target="https://www.easternbank.com/about-us/eastern-bank-foundation/apply" TargetMode="External"/><Relationship Id="rId36" Type="http://schemas.openxmlformats.org/officeDocument/2006/relationships/hyperlink" Target="https://www.easternbank.com/about-us/executive-leadership" TargetMode="External"/><Relationship Id="rId37" Type="http://schemas.openxmlformats.org/officeDocument/2006/relationships/hyperlink" Target="https://www.lawrencelynch.com/about-us" TargetMode="External"/><Relationship Id="rId38" Type="http://schemas.openxmlformats.org/officeDocument/2006/relationships/hyperlink" Target="https://www.raveis.com/Home/AboutUs" TargetMode="External"/><Relationship Id="rId39" Type="http://schemas.openxmlformats.org/officeDocument/2006/relationships/hyperlink" Target="https://raveischaritablefund.com/" TargetMode="External"/><Relationship Id="rId40" Type="http://schemas.openxmlformats.org/officeDocument/2006/relationships/hyperlink" Target="https://www.seamensbank.com/" TargetMode="External"/><Relationship Id="rId41" Type="http://schemas.openxmlformats.org/officeDocument/2006/relationships/hyperlink" Target="https://hylinecruises.com/" TargetMode="External"/><Relationship Id="rId42" Type="http://schemas.openxmlformats.org/officeDocument/2006/relationships/hyperlink" Target="https://www.arbella.com/" TargetMode="External"/><Relationship Id="rId43" Type="http://schemas.openxmlformats.org/officeDocument/2006/relationships/hyperlink" Target="https://about.bankofamerica.com/en/making-an-impact/charitable-foundation-funding" TargetMode="External"/><Relationship Id="rId44" Type="http://schemas.openxmlformats.org/officeDocument/2006/relationships/hyperlink" Target="https://www.chathambarsinn.com/" TargetMode="External"/><Relationship Id="rId45" Type="http://schemas.openxmlformats.org/officeDocument/2006/relationships/hyperlink" Target="https://wequassett.com/" TargetMode="External"/><Relationship Id="rId46" Type="http://schemas.openxmlformats.org/officeDocument/2006/relationships/hyperlink" Target="https://www.redjacketresorts.com/" TargetMode="External"/><Relationship Id="rId47" Type="http://schemas.openxmlformats.org/officeDocument/2006/relationships/hyperlink" Target="https://puritancapecod.com/" TargetMode="External"/><Relationship Id="rId48" Type="http://schemas.openxmlformats.org/officeDocument/2006/relationships/hyperlink" Target="https://www.coldwellbankerhomes.com/ma/cape-cod/" TargetMode="External"/><Relationship Id="rId49" Type="http://schemas.openxmlformats.org/officeDocument/2006/relationships/hyperlink" Target="https://www.nausetrental.com/" TargetMode="External"/><Relationship Id="rId50" Type="http://schemas.openxmlformats.org/officeDocument/2006/relationships/hyperlink" Target="https://ptownmarina.com/" TargetMode="External"/><Relationship Id="rId51" Type="http://schemas.openxmlformats.org/officeDocument/2006/relationships/hyperlink" Target="https://whalewatch.com/" TargetMode="External"/><Relationship Id="rId52" Type="http://schemas.openxmlformats.org/officeDocument/2006/relationships/hyperlink" Target="https://baystatecruisecompany.com/" TargetMode="External"/><Relationship Id="rId53" Type="http://schemas.openxmlformats.org/officeDocument/2006/relationships/hyperlink" Target="https://schoolhouseconstruction.com/" TargetMode="External"/><Relationship Id="rId54" Type="http://schemas.openxmlformats.org/officeDocument/2006/relationships/hyperlink" Target="https://baldwin.com/rogersgray/" TargetMode="External"/><Relationship Id="rId55" Type="http://schemas.openxmlformats.org/officeDocument/2006/relationships/hyperlink" Target="https://www.capecodfoundation.org/competitive-grant-programs-overview/" TargetMode="External"/><Relationship Id="rId56" Type="http://schemas.openxmlformats.org/officeDocument/2006/relationships/hyperlink" Target="https://www.capecodfoundation.org/team-staff/" TargetMode="External"/><Relationship Id="rId57" Type="http://schemas.openxmlformats.org/officeDocument/2006/relationships/hyperlink" Target="https://www.eversource.com/content/residential/about/community-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Cape Cod Exclusive Sponsor Research — 14 July 2026</dc:title>
  <dc:subject>Prospect research for a one-night professional stand-up comedy event at Tilden Performing Arts Center</dc:subject>
  <dc:creator>OpenAI</dc:creator>
  <cp:keywords>Cape Cod, sponsorship, Tilden Performing Arts Center, corporate prospects, arts</cp:keywords>
  <dc:description>generated by python-docx</dc:description>
  <cp:lastModifiedBy/>
  <cp:revision>1</cp:revision>
  <dcterms:created xsi:type="dcterms:W3CDTF">2013-12-23T23:15:00Z</dcterms:created>
  <dcterms:modified xsi:type="dcterms:W3CDTF">2013-12-23T23:15:00Z</dcterms:modified>
  <cp:category/>
</cp:coreProperties>
</file>