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EC989" w14:textId="77777777" w:rsidR="001C5262" w:rsidRPr="00920F3A" w:rsidRDefault="009D6A65">
      <w:pPr>
        <w:pStyle w:val="Titre11"/>
        <w:spacing w:line="480" w:lineRule="auto"/>
        <w:rPr>
          <w:lang w:val="en-GB"/>
        </w:rPr>
      </w:pPr>
      <w:bookmarkStart w:id="0" w:name="_Toc204704994"/>
      <w:r>
        <w:rPr>
          <w:lang w:val="en-GB"/>
        </w:rPr>
        <w:t>SM1c: Case studies using SOUPE method</w:t>
      </w:r>
    </w:p>
    <w:p w14:paraId="02B64725" w14:textId="77777777" w:rsidR="001C5262" w:rsidRPr="00920F3A" w:rsidRDefault="009D6A65">
      <w:pPr>
        <w:spacing w:line="480" w:lineRule="auto"/>
        <w:rPr>
          <w:lang w:val="en-GB"/>
        </w:rPr>
      </w:pPr>
      <w:r>
        <w:rPr>
          <w:lang w:val="en-GB"/>
        </w:rPr>
        <w:t>We present here a more complete and detailed explanation for the concrete application of SOUPE with real datasets, based on the SOUPE Decision Tree provided in SM1a. The numbers of the figures refer to the one in the main article.</w:t>
      </w:r>
    </w:p>
    <w:p w14:paraId="25D3F6AA" w14:textId="77777777" w:rsidR="001C5262" w:rsidRPr="00920F3A" w:rsidRDefault="009D6A65">
      <w:pPr>
        <w:pStyle w:val="Titre21"/>
        <w:spacing w:line="480" w:lineRule="auto"/>
        <w:rPr>
          <w:lang w:val="en-GB"/>
        </w:rPr>
      </w:pPr>
      <w:r>
        <w:rPr>
          <w:i/>
          <w:iCs/>
          <w:lang w:val="en-GB"/>
        </w:rPr>
        <w:t>A posteriori</w:t>
      </w:r>
      <w:r>
        <w:rPr>
          <w:lang w:val="en-GB"/>
        </w:rPr>
        <w:t xml:space="preserve"> process: </w:t>
      </w:r>
      <w:bookmarkStart w:id="1" w:name="_Toc204704995"/>
      <w:bookmarkEnd w:id="0"/>
      <w:r>
        <w:rPr>
          <w:lang w:val="en-GB"/>
        </w:rPr>
        <w:t xml:space="preserve">evaluation of a sample used in a study on birds’ locomotion abilities </w:t>
      </w:r>
      <w:r w:rsidR="001C5262">
        <w:fldChar w:fldCharType="begin"/>
      </w:r>
      <w:r w:rsidRPr="00920F3A">
        <w:rPr>
          <w:lang w:val="en-GB"/>
        </w:rPr>
        <w:instrText>ADDIN ZOTERO_ITEM CSL_CITATION {"citationID":"syZ67nxw","properties":{"formattedCitation":"(Provini &amp; H\\uc0\\u246{}fling, 2020)","plainCitation":"(Provini &amp; Höfling, 2020)","noteIndex":0},"citationItems":[{"id":326,"uris":["http://zotero.org/users/10180846/items/TPUU6K7V"],"itemData":{"id":326,"type":"article-journal","abstract":"Abstract\n            Birds can use different types of gaits to move on the ground: they either walk, hop, or run. Although velocity can easily explain a preference for running, it remains unclear what drives a bird species to favor hopping over walking. As many hopping birds are relatively small and arboreal, we wanted to test the link between size, arboreality, and hopping ability. First, we carried out ancestral character state reconstructions of size range, hopping ability, and habitat traits on over 1000 species of birds. We found that both hopping ability and arboreality were derived and significantly correlated traits in avian evolution. Second, we tested the influence of hopping ability on the morphology of the lower appendicular skeleton by quantifying the shape differences of the pelvis and the three long bones of the hind limbs in 47 avian species with different habitats and gait preferences. We used geometric morphometrics on 3D landmarks, digitized on micro–computed tomography (micro-CT) and surface scans of the pelvis, femur, tibiotarsus, and tarsometatarsus. Locomotion habits significantly influence the conformation of the pelvis, especially at the origin of hip and knee muscle extensors. Interestingly, habitat, more than locomotion habits, significantly changed tarsometatarsus conformation. The morphology of the distal part of the tarsometatarsus constrains digit orientation, which leads to a greater ability to perch, an advantageous trait in arboreality. The results of this work suggest an arboreal origin of hopping and illuminate the evolution of avian terrestrial locomotion.[Anatomy; avian; gait; leg; lifestyle; pelvis; tree-dwelling.]","container-title":"Systematic Biology","DOI":"10.1093/sysbio/syaa015","ISSN":"1063-5157, 1076-836X","issue":"5","language":"en","license":"https://academic.oup.com/journals/pages/open_access/funder_policies/chorus/standard_publication_model","page":"962-972","source":"DOI.org (Crossref)","title":"To Hop or Not to Hop? The Answer Is in the Bird Trees","title-short":"To Hop or Not to Hop?","volume":"69","author":[{"family":"Provini","given":"Pauline"},{"family":"Höfling","given":"Elizabeth"}],"editor":[{"family":"Warren","given":"Dan"}],"issued":{"date-parts":[["2020",9,1]]},"citation-key":"proviniHopNotHop2020"}}],"schema":"https://github.com/citation-style-language/schema/raw/master/csl-citation.json"}</w:instrText>
      </w:r>
      <w:r w:rsidR="001C5262">
        <w:fldChar w:fldCharType="separate"/>
      </w:r>
      <w:r>
        <w:rPr>
          <w:rFonts w:cs="Calibri Light"/>
          <w:szCs w:val="24"/>
          <w:lang w:val="en-GB"/>
        </w:rPr>
        <w:t>(Provini &amp; Höfling, 2020)</w:t>
      </w:r>
      <w:r w:rsidR="001C5262">
        <w:fldChar w:fldCharType="end"/>
      </w:r>
      <w:bookmarkEnd w:id="1"/>
    </w:p>
    <w:p w14:paraId="4FAA8F48" w14:textId="77777777" w:rsidR="001C5262" w:rsidRPr="00920F3A" w:rsidRDefault="009D6A65">
      <w:pPr>
        <w:spacing w:line="480" w:lineRule="auto"/>
        <w:ind w:firstLine="708"/>
        <w:rPr>
          <w:lang w:val="en-GB"/>
        </w:rPr>
      </w:pPr>
      <w:r>
        <w:rPr>
          <w:lang w:val="en-GB"/>
        </w:rPr>
        <w:t xml:space="preserve">The first application concerns the </w:t>
      </w:r>
      <w:r>
        <w:rPr>
          <w:i/>
          <w:iCs/>
          <w:lang w:val="en-GB"/>
        </w:rPr>
        <w:t>a posteriori</w:t>
      </w:r>
      <w:r>
        <w:rPr>
          <w:lang w:val="en-GB"/>
        </w:rPr>
        <w:t xml:space="preserve"> process of SOUPE method, to test the phylogenetic and ecological quality of </w:t>
      </w:r>
      <w:r w:rsidR="001C5262">
        <w:fldChar w:fldCharType="begin"/>
      </w:r>
      <w:r w:rsidRPr="00920F3A">
        <w:rPr>
          <w:lang w:val="en-GB"/>
        </w:rPr>
        <w:instrText>ADDIN ZOTERO_ITEM CSL_CITATION {"citationID":"AcO8tZlQ","properties":{"formattedCitation":"(Provini &amp; H\\uc0\\u246{}fling, 2020)","plainCitation":"(Provini &amp; Höfling, 2020)","noteIndex":0},"citationItems":[{"id":326,"uris":["http://zotero.org/users/10180846/items/TPUU6K7V"],"itemData":{"id":326,"type":"article-journal","abstract":"Abstract\n            Birds can use different types of gaits to move on the ground: they either walk, hop, or run. Although velocity can easily explain a preference for running, it remains unclear what drives a bird species to favor hopping over walking. As many hopping birds are relatively small and arboreal, we wanted to test the link between size, arboreality, and hopping ability. First, we carried out ancestral character state reconstructions of size range, hopping ability, and habitat traits on over 1000 species of birds. We found that both hopping ability and arboreality were derived and significantly correlated traits in avian evolution. Second, we tested the influence of hopping ability on the morphology of the lower appendicular skeleton by quantifying the shape differences of the pelvis and the three long bones of the hind limbs in 47 avian species with different habitats and gait preferences. We used geometric morphometrics on 3D landmarks, digitized on micro–computed tomography (micro-CT) and surface scans of the pelvis, femur, tibiotarsus, and tarsometatarsus. Locomotion habits significantly influence the conformation of the pelvis, especially at the origin of hip and knee muscle extensors. Interestingly, habitat, more than locomotion habits, significantly changed tarsometatarsus conformation. The morphology of the distal part of the tarsometatarsus constrains digit orientation, which leads to a greater ability to perch, an advantageous trait in arboreality. The results of this work suggest an arboreal origin of hopping and illuminate the evolution of avian terrestrial locomotion.[Anatomy; avian; gait; leg; lifestyle; pelvis; tree-dwelling.]","container-title":"Systematic Biology","DOI":"10.1093/sysbio/syaa015","ISSN":"1063-5157, 1076-836X","issue":"5","language":"en","license":"https://academic.oup.com/journals/pages/open_access/funder_policies/chorus/standard_publication_model","page":"962-972","source":"DOI.org (Crossref)","title":"To Hop or Not to Hop? The Answer Is in the Bird Trees","title-short":"To Hop or Not to Hop?","volume":"69","author":[{"family":"Provini","given":"Pauline"},{"family":"Höfling","given":"Elizabeth"}],"editor":[{"family":"Warren","given":"Dan"}],"issued":{"date-parts":[["2020",9,1]]},"citation-key":"proviniHopNotHop2020"}}],"schema":"https://github.com/citation-style-language/schema/raw/master/csl-citation.json"}</w:instrText>
      </w:r>
      <w:r w:rsidR="001C5262">
        <w:fldChar w:fldCharType="separate"/>
      </w:r>
      <w:r>
        <w:rPr>
          <w:rFonts w:cs="Calibri"/>
          <w:szCs w:val="24"/>
          <w:lang w:val="en-GB"/>
        </w:rPr>
        <w:t>Provini &amp; Höfling (2020)</w:t>
      </w:r>
      <w:r w:rsidR="001C5262">
        <w:fldChar w:fldCharType="end"/>
      </w:r>
      <w:r>
        <w:rPr>
          <w:lang w:val="en-GB"/>
        </w:rPr>
        <w:t xml:space="preserve">’s sample. </w:t>
      </w:r>
    </w:p>
    <w:p w14:paraId="5D479E7D" w14:textId="77777777" w:rsidR="001C5262" w:rsidRDefault="009D6A65">
      <w:pPr>
        <w:spacing w:line="480" w:lineRule="auto"/>
        <w:ind w:firstLine="708"/>
        <w:rPr>
          <w:lang w:val="en-GB"/>
        </w:rPr>
      </w:pPr>
      <w:r>
        <w:rPr>
          <w:lang w:val="en-GB"/>
        </w:rPr>
        <w:t xml:space="preserve">The tested sample was created manually to represent as much as possible the phylogeny of the group and the diversity of locomotion abilities and habitats. It is composed of 1,004 birds’ species, and represents 83% of all bird’s families. </w:t>
      </w:r>
    </w:p>
    <w:p w14:paraId="1F97F961" w14:textId="77777777" w:rsidR="001C5262" w:rsidRPr="00920F3A" w:rsidRDefault="009D6A65">
      <w:pPr>
        <w:pStyle w:val="Titre31"/>
        <w:spacing w:after="240" w:line="480" w:lineRule="auto"/>
        <w:rPr>
          <w:lang w:val="en-GB"/>
        </w:rPr>
      </w:pPr>
      <w:bookmarkStart w:id="2" w:name="_Toc204704996"/>
      <w:r>
        <w:rPr>
          <w:lang w:val="en-GB"/>
        </w:rPr>
        <w:t xml:space="preserve">Phylogenetic </w:t>
      </w:r>
      <w:bookmarkEnd w:id="2"/>
      <w:r>
        <w:rPr>
          <w:lang w:val="en-GB"/>
        </w:rPr>
        <w:t>relevance</w:t>
      </w:r>
    </w:p>
    <w:p w14:paraId="2446BB28" w14:textId="77777777" w:rsidR="001C5262" w:rsidRPr="00920F3A" w:rsidRDefault="009D6A65">
      <w:pPr>
        <w:spacing w:line="480" w:lineRule="auto"/>
        <w:rPr>
          <w:lang w:val="en-GB"/>
        </w:rPr>
      </w:pPr>
      <w:r>
        <w:rPr>
          <w:lang w:val="en-GB"/>
        </w:rPr>
        <w:t xml:space="preserve">For the phylogenetic relevance, we use </w:t>
      </w:r>
      <w:r>
        <w:rPr>
          <w:rFonts w:ascii="Courier New" w:hAnsi="Courier New" w:cs="Courier New"/>
          <w:lang w:val="en-GB"/>
        </w:rPr>
        <w:t>compost</w:t>
      </w:r>
      <w:r>
        <w:rPr>
          <w:lang w:val="en-GB"/>
        </w:rPr>
        <w:t xml:space="preserve"> function. </w:t>
      </w:r>
    </w:p>
    <w:p w14:paraId="4886BADB" w14:textId="77777777" w:rsidR="001C5262" w:rsidRPr="00920F3A" w:rsidRDefault="009D6A65">
      <w:pPr>
        <w:spacing w:line="480" w:lineRule="auto"/>
        <w:rPr>
          <w:lang w:val="en-GB"/>
        </w:rPr>
      </w:pPr>
      <w:r>
        <w:rPr>
          <w:lang w:val="en-GB"/>
        </w:rPr>
        <w:t xml:space="preserve">The first step is to check if the taxa in the tested sample are the same than in the phylogeny. We find 83 non-matching species, due to taxonomical revisions between the year of the paper’s publication (2020) and the year of the phylogeny’s publication </w:t>
      </w:r>
      <w:r w:rsidR="001C5262">
        <w:fldChar w:fldCharType="begin"/>
      </w:r>
      <w:r w:rsidRPr="00920F3A">
        <w:rPr>
          <w:lang w:val="en-GB"/>
        </w:rPr>
        <w:instrText>ADDIN ZOTERO_ITEM CSL_CITATION {"citationID":"FtobkP4g","properties":{"formattedCitation":"(McTavish et al., 2024)","plainCitation":"(McTavish et al., 2024)","noteIndex":0},"citationItems":[{"id":679,"uris":["http://zotero.org/users/10180846/items/82DJKNZS"],"itemData":{"id":679,"type":"article","abstract":"Abstract\n          We present a complete, time-scaled, evolutionary tree of the world’s bird species. This tree unites phylogenetic estimates for 9,239 species from 262 studies published between 1990 and 2024, using the Open Tree synthesis algorithm. The remaining species are placed in the tree based on curated taxonomic information. The tips of this complete tree are aligned to the species in the Clements Taxonomy used by eBird and other resources, and cross-mapped to other taxonomic systems including the Open Tree of Life (Open Tree), National Center for Biotechnology Information (NCBI), and Global Biodiversity Information Facility (GBIF). The total number of named bird species varies between 10,824 and 11,017 across the taxonomy versions we applied (v2021, v2022 and v2023). We share complete trees for each taxonomy version. The procedure, software and data-stores we used to generate this tree are public and reproducible. The tree presented here is Aves v1.2 and can be easily updated with new phylogenetic information as new estimates are published. We demonstrate the types of large scale analyses this data resource enables by linking geographic data with the phylogeny to calculate the regional phylogenetic diversity of birds across the world. We will release updated versions of the phylogenetic synthesis and taxonomic translation tables annually. The procedure we describe here can be applied to developing complete phylogenetic estimates for any taxonomic group of interest.\n          \n            Significance statement\n            Birds are charismatic - well loved, and highly studied. Many new phylogenies elucidating avian birds evolutionary relationships are published every year. We have united phylogenetic estimates from hundreds of studies to create a complete evolutionary tree of all birds. While a variety of resources aggregate huge collections of trait, behavior and location data for birds, previously the barriers to linking data between these data resources and bird evolutionary history have limited the opportunities to do exciting large scale analyses. We have bridged that gap, and developed a system that allows us to easily update our understanding of bird evolution as new estimates are generated. We share a workflow and the software needed to create a complete evolutionary tree for any group.","DOI":"10.1101/2024.05.20.595017","language":"en","publisher":"Evolutionary Biology","source":"DOI.org (Crossref)","title":"A complete and dynamic tree of birds","URL":"http://biorxiv.org/lookup/doi/10.1101/2024.05.20.595017","author":[{"family":"McTavish","given":"Emily Jane"},{"family":"Gerbracht","given":"Jeff A."},{"family":"Holder","given":"Mark T."},{"family":"Iliff","given":"Marshall J."},{"family":"Lepage","given":"Denis"},{"family":"Rasmussen","given":"Pam"},{"family":"Redelings","given":"Benjamin"},{"family":"Sanchez Reyes","given":"Luna Luisa"},{"family":"Miller","given":"Eliot T."}],"accessed":{"date-parts":[["2025",6,11]]},"issued":{"date-parts":[["2024",5,22]]},"citation-key":"mctavishCompleteDynamicTree2024"}}],"schema":"https://github.com/citation-style-language/schema/raw/master/csl-citation.json"}</w:instrText>
      </w:r>
      <w:r w:rsidR="001C5262">
        <w:fldChar w:fldCharType="separate"/>
      </w:r>
      <w:r>
        <w:rPr>
          <w:rFonts w:cs="Calibri"/>
          <w:lang w:val="en-GB"/>
        </w:rPr>
        <w:t>(McTavish et al., 2024)</w:t>
      </w:r>
      <w:r w:rsidR="001C5262">
        <w:fldChar w:fldCharType="end"/>
      </w:r>
      <w:r>
        <w:rPr>
          <w:lang w:val="en-GB"/>
        </w:rPr>
        <w:t xml:space="preserve">. The species names were modified to match those used in the phylogeny, using </w:t>
      </w:r>
      <w:proofErr w:type="spellStart"/>
      <w:r>
        <w:rPr>
          <w:lang w:val="en-GB"/>
        </w:rPr>
        <w:t>Avibase</w:t>
      </w:r>
      <w:proofErr w:type="spellEnd"/>
      <w:r>
        <w:rPr>
          <w:lang w:val="en-GB"/>
        </w:rPr>
        <w:t xml:space="preserve"> database </w:t>
      </w:r>
      <w:r w:rsidR="001C5262">
        <w:fldChar w:fldCharType="begin"/>
      </w:r>
      <w:r w:rsidRPr="00920F3A">
        <w:rPr>
          <w:lang w:val="en-GB"/>
        </w:rPr>
        <w:instrText>ADDIN ZOTERO_ITEM CSL_CITATION {"citationID":"2VCwI56J","properties":{"formattedCitation":"(Lepage et al., 2014)","plainCitation":"(Lepage et al., 2014)","noteIndex":0},"citationItems":[{"id":762,"uris":["http://zotero.org/users/10180846/items/V8C9CFDT"],"itemData":{"id":762,"type":"article-journal","abstract":"Scientific names of biological entities offer an imperfect resolution of the concepts that they are intended to represent. Often they are labels applied to entities ranging from entire populations to individual specimens representing those populations, even though such names only unambiguously identify the type specimen to which they were originally attached. Thus the real-life referents of names are constantly changing as biological circumscriptions are redefined and thereby alter the sets of individuals bearing those names. This problem is compounded by other characteristics of names that make them ambiguous identifiers of biological concepts, including emendations, homonymy and synonymy. Taxonomic concepts have been proposed as a way to address issues related to scientific names, but they have yet to receive broad recognition or implementation. Some efforts have been made towards building systems that address these issues by cataloguing and organizing taxonomic concepts, but most are still in conceptual or proof-of-concept stage. We present the on-line database Avibase as one possible approach to organizing taxonomic concepts. Avibase has been successfully used to describe and organize 844,000 species-level and 705,000 subspecies-level taxonomic concepts across every major bird taxonomic checklist of the last 125 years. The use of taxonomic concepts in place of scientific names, coupled with efficient resolution services, is a major step toward addressing some of the main deficiencies in the current practices of scientific name dissemination and use.","container-title":"ZooKeys","DOI":"10.3897/zookeys.420.7089","ISSN":"1313-2989","issue":"420","journalAbbreviation":"Zookeys","note":"PMID: 25061375\nPMCID: PMC4109484","page":"117-135","source":"PubMed Central","title":"Avibase – a database system for managing and organizing taxonomic concepts","author":[{"family":"Lepage","given":"Denis"},{"family":"Vaidya","given":"Gaurav"},{"family":"Guralnick","given":"Robert"}],"issued":{"date-parts":[["2014",6,25]]},"citation-key":"lepageAvibaseDatabaseSystem2014"}}],"schema":"https://github.com/citation-style-language/schema/raw/master/csl-citation.json"}</w:instrText>
      </w:r>
      <w:r w:rsidR="001C5262">
        <w:fldChar w:fldCharType="separate"/>
      </w:r>
      <w:r>
        <w:rPr>
          <w:rFonts w:cs="Calibri"/>
          <w:lang w:val="en-GB"/>
        </w:rPr>
        <w:t>(Lepage et al., 2014)</w:t>
      </w:r>
      <w:r w:rsidR="001C5262">
        <w:fldChar w:fldCharType="end"/>
      </w:r>
      <w:r>
        <w:rPr>
          <w:lang w:val="en-GB"/>
        </w:rPr>
        <w:t>.</w:t>
      </w:r>
    </w:p>
    <w:p w14:paraId="73BB4EC7" w14:textId="77777777" w:rsidR="001C5262" w:rsidRDefault="009D6A65">
      <w:pPr>
        <w:spacing w:line="480" w:lineRule="auto"/>
        <w:rPr>
          <w:lang w:val="en-GB"/>
        </w:rPr>
      </w:pPr>
      <w:r>
        <w:rPr>
          <w:lang w:val="en-GB"/>
        </w:rPr>
        <w:t xml:space="preserve">The second step is to identify if there was a limitation on the availability of the taxa during the creation of the sample. The authors mention in the paper that their sample was created with restrictions on data availability. However, no list of available taxa had been created at that point, that we could use in the function. Given the size of the sample, we will consider that it can be compared to random samples created without restrictions. </w:t>
      </w:r>
    </w:p>
    <w:p w14:paraId="73CA25B8" w14:textId="77777777" w:rsidR="001C5262" w:rsidRDefault="009D6A65">
      <w:pPr>
        <w:spacing w:line="480" w:lineRule="auto"/>
        <w:rPr>
          <w:lang w:val="en-GB"/>
        </w:rPr>
      </w:pPr>
      <w:r>
        <w:rPr>
          <w:lang w:val="en-GB"/>
        </w:rPr>
        <w:lastRenderedPageBreak/>
        <w:t>The third step is to decide how many random samples to generate. By calculating a mathematical combination (equation 1), we can get the number of possible random samples that can be generated from the phylogeny.</w:t>
      </w:r>
    </w:p>
    <w:p w14:paraId="2D1606BF" w14:textId="77777777" w:rsidR="001C5262" w:rsidRPr="00920F3A" w:rsidRDefault="000A446E">
      <w:pPr>
        <w:spacing w:line="480" w:lineRule="auto"/>
        <w:ind w:firstLine="360"/>
        <w:rPr>
          <w:lang w:val="en-GB"/>
        </w:rPr>
      </w:pPr>
      <m:oMath>
        <m:f>
          <m:fPr>
            <m:ctrlPr>
              <w:rPr>
                <w:rFonts w:ascii="Cambria Math" w:hAnsi="Cambria Math"/>
              </w:rPr>
            </m:ctrlPr>
          </m:fPr>
          <m:num>
            <m:r>
              <w:rPr>
                <w:rFonts w:ascii="Cambria Math" w:hAnsi="Cambria Math"/>
              </w:rPr>
              <m:t>L</m:t>
            </m:r>
            <m:r>
              <w:rPr>
                <w:rFonts w:ascii="Cambria Math" w:hAnsi="Cambria Math"/>
                <w:lang w:val="en-GB"/>
              </w:rPr>
              <m:t>!</m:t>
            </m:r>
          </m:num>
          <m:den>
            <m:r>
              <w:rPr>
                <w:rFonts w:ascii="Cambria Math" w:hAnsi="Cambria Math"/>
              </w:rPr>
              <m:t>T</m:t>
            </m:r>
            <m:r>
              <w:rPr>
                <w:rFonts w:ascii="Cambria Math" w:hAnsi="Cambria Math"/>
                <w:lang w:val="en-GB"/>
              </w:rPr>
              <m:t>!</m:t>
            </m:r>
            <m:d>
              <m:dPr>
                <m:ctrlPr>
                  <w:rPr>
                    <w:rFonts w:ascii="Cambria Math" w:hAnsi="Cambria Math"/>
                  </w:rPr>
                </m:ctrlPr>
              </m:dPr>
              <m:e>
                <m:r>
                  <w:rPr>
                    <w:rFonts w:ascii="Cambria Math" w:hAnsi="Cambria Math"/>
                  </w:rPr>
                  <m:t>L</m:t>
                </m:r>
                <m:r>
                  <w:rPr>
                    <w:rFonts w:ascii="Cambria Math" w:hAnsi="Cambria Math"/>
                    <w:lang w:val="en-GB"/>
                  </w:rPr>
                  <m:t>-</m:t>
                </m:r>
                <m:r>
                  <w:rPr>
                    <w:rFonts w:ascii="Cambria Math" w:hAnsi="Cambria Math"/>
                  </w:rPr>
                  <m:t>T</m:t>
                </m:r>
              </m:e>
            </m:d>
            <m:r>
              <w:rPr>
                <w:rFonts w:ascii="Cambria Math" w:hAnsi="Cambria Math"/>
                <w:lang w:val="en-GB"/>
              </w:rPr>
              <m:t>!</m:t>
            </m:r>
          </m:den>
        </m:f>
      </m:oMath>
      <w:r w:rsidR="009D6A65">
        <w:rPr>
          <w:lang w:val="en-GB"/>
        </w:rPr>
        <w:tab/>
      </w:r>
      <w:r w:rsidR="009D6A65">
        <w:rPr>
          <w:lang w:val="en-GB"/>
        </w:rPr>
        <w:tab/>
      </w:r>
      <w:r w:rsidR="009D6A65">
        <w:rPr>
          <w:lang w:val="en-GB"/>
        </w:rPr>
        <w:tab/>
      </w:r>
      <w:proofErr w:type="spellStart"/>
      <w:r w:rsidR="009D6A65">
        <w:rPr>
          <w:sz w:val="18"/>
          <w:szCs w:val="18"/>
          <w:lang w:val="en-GB"/>
        </w:rPr>
        <w:t>eqn</w:t>
      </w:r>
      <w:proofErr w:type="spellEnd"/>
      <w:r w:rsidR="009D6A65">
        <w:rPr>
          <w:sz w:val="18"/>
          <w:szCs w:val="18"/>
          <w:lang w:val="en-GB"/>
        </w:rPr>
        <w:t xml:space="preserve"> 1</w:t>
      </w:r>
    </w:p>
    <w:p w14:paraId="410D8D73" w14:textId="77777777" w:rsidR="001C5262" w:rsidRDefault="009D6A65">
      <w:pPr>
        <w:spacing w:line="480" w:lineRule="auto"/>
        <w:ind w:firstLine="360"/>
        <w:rPr>
          <w:lang w:val="en-GB"/>
        </w:rPr>
      </w:pPr>
      <w:r>
        <w:rPr>
          <w:lang w:val="en-GB"/>
        </w:rPr>
        <w:t>With L the number of available taxa and T the size of the tested sample.</w:t>
      </w:r>
    </w:p>
    <w:p w14:paraId="3FF85A3B" w14:textId="77777777" w:rsidR="001C5262" w:rsidRDefault="009D6A65">
      <w:pPr>
        <w:spacing w:line="480" w:lineRule="auto"/>
        <w:ind w:firstLine="360"/>
        <w:rPr>
          <w:lang w:val="en-GB"/>
        </w:rPr>
      </w:pPr>
      <w:r>
        <w:rPr>
          <w:lang w:val="en-GB"/>
        </w:rPr>
        <w:t>A threshold of 1,000 possible samples was set to help the user chose the number of samples to generate in the analysis. When less than 1,000 random samples are possible, we advise to run the function with the highest number of samples possible (-1 to take the tested sample into consideration). Beyond 1,000 possible random samples, it is not possible to generate them all for the comparison. We advise the user to choose 1,000 random samples or more, depending on the size of the sample and of the phylogeny. It should be high enough to ensure that the comparison makes sense.</w:t>
      </w:r>
    </w:p>
    <w:p w14:paraId="35AA6107" w14:textId="77777777" w:rsidR="001C5262" w:rsidRDefault="009D6A65">
      <w:pPr>
        <w:spacing w:line="480" w:lineRule="auto"/>
        <w:ind w:firstLine="360"/>
      </w:pPr>
      <w:r>
        <w:rPr>
          <w:lang w:val="en-GB"/>
        </w:rPr>
        <w:t xml:space="preserve">The phylogeny used here is taken from </w:t>
      </w:r>
      <w:r w:rsidR="001C5262">
        <w:fldChar w:fldCharType="begin"/>
      </w:r>
      <w:r w:rsidRPr="00920F3A">
        <w:rPr>
          <w:lang w:val="en-GB"/>
        </w:rPr>
        <w:instrText>ADDIN ZOTERO_ITEM CSL_CITATION {"citationID":"fAfttQPC","properties":{"formattedCitation":"(McTavish et al., 2024)","plainCitation":"(McTavish et al., 2024)","noteIndex":0},"citationItems":[{"id":679,"uris":["http://zotero.org/users/10180846/items/82DJKNZS"],"itemData":{"id":679,"type":"article","abstract":"Abstract\n          We present a complete, time-scaled, evolutionary tree of the world’s bird species. This tree unites phylogenetic estimates for 9,239 species from 262 studies published between 1990 and 2024, using the Open Tree synthesis algorithm. The remaining species are placed in the tree based on curated taxonomic information. The tips of this complete tree are aligned to the species in the Clements Taxonomy used by eBird and other resources, and cross-mapped to other taxonomic systems including the Open Tree of Life (Open Tree), National Center for Biotechnology Information (NCBI), and Global Biodiversity Information Facility (GBIF). The total number of named bird species varies between 10,824 and 11,017 across the taxonomy versions we applied (v2021, v2022 and v2023). We share complete trees for each taxonomy version. The procedure, software and data-stores we used to generate this tree are public and reproducible. The tree presented here is Aves v1.2 and can be easily updated with new phylogenetic information as new estimates are published. We demonstrate the types of large scale analyses this data resource enables by linking geographic data with the phylogeny to calculate the regional phylogenetic diversity of birds across the world. We will release updated versions of the phylogenetic synthesis and taxonomic translation tables annually. The procedure we describe here can be applied to developing complete phylogenetic estimates for any taxonomic group of interest.\n          \n            Significance statement\n            Birds are charismatic - well loved, and highly studied. Many new phylogenies elucidating avian birds evolutionary relationships are published every year. We have united phylogenetic estimates from hundreds of studies to create a complete evolutionary tree of all birds. While a variety of resources aggregate huge collections of trait, behavior and location data for birds, previously the barriers to linking data between these data resources and bird evolutionary history have limited the opportunities to do exciting large scale analyses. We have bridged that gap, and developed a system that allows us to easily update our understanding of bird evolution as new estimates are generated. We share a workflow and the software needed to create a complete evolutionary tree for any group.","DOI":"10.1101/2024.05.20.595017","language":"en","publisher":"Evolutionary Biology","source":"DOI.org (Crossref)","title":"A complete and dynamic tree of birds","URL":"http://biorxiv.org/lookup/doi/10.1101/2024.05.20.595017","author":[{"family":"McTavish","given":"Emily Jane"},{"family":"Gerbracht","given":"Jeff A."},{"family":"Holder","given":"Mark T."},{"family":"Iliff","given":"Marshall J."},{"family":"Lepage","given":"Denis"},{"family":"Rasmussen","given":"Pam"},{"family":"Redelings","given":"Benjamin"},{"family":"Sanchez Reyes","given":"Luna Luisa"},{"family":"Miller","given":"Eliot T."}],"accessed":{"date-parts":[["2025",6,11]]},"issued":{"date-parts":[["2024",5,22]]},"citation-key":"mctavishCompleteDynamicTree2024"}}],"schema":"https://github.com/citation-style-language/schema/raw/master/csl-citation.json"}</w:instrText>
      </w:r>
      <w:r w:rsidR="001C5262">
        <w:fldChar w:fldCharType="separate"/>
      </w:r>
      <w:r>
        <w:rPr>
          <w:rFonts w:cs="Calibri"/>
          <w:lang w:val="en-GB"/>
        </w:rPr>
        <w:t>McTavish et al. (2024)</w:t>
      </w:r>
      <w:r w:rsidR="001C5262">
        <w:fldChar w:fldCharType="end"/>
      </w:r>
      <w:r>
        <w:rPr>
          <w:lang w:val="en-GB"/>
        </w:rPr>
        <w:t xml:space="preserve"> (version 1.4), and comprises 11,017 species of birds. The tested sample is composed of 1,004 species. The combination is calculated as:</w:t>
      </w:r>
    </w:p>
    <w:p w14:paraId="645909FB" w14:textId="77777777" w:rsidR="001C5262" w:rsidRDefault="000A446E">
      <w:pPr>
        <w:spacing w:line="480" w:lineRule="auto"/>
        <w:ind w:firstLine="360"/>
      </w:pPr>
      <m:oMathPara>
        <m:oMathParaPr>
          <m:jc m:val="left"/>
        </m:oMathParaPr>
        <m:oMath>
          <m:f>
            <m:fPr>
              <m:ctrlPr>
                <w:rPr>
                  <w:rFonts w:ascii="Cambria Math" w:hAnsi="Cambria Math"/>
                </w:rPr>
              </m:ctrlPr>
            </m:fPr>
            <m:num>
              <m:r>
                <w:rPr>
                  <w:rFonts w:ascii="Cambria Math" w:hAnsi="Cambria Math"/>
                </w:rPr>
                <m:t>11017!</m:t>
              </m:r>
            </m:num>
            <m:den>
              <m:r>
                <w:rPr>
                  <w:rFonts w:ascii="Cambria Math" w:hAnsi="Cambria Math"/>
                </w:rPr>
                <m:t>1004!</m:t>
              </m:r>
              <m:d>
                <m:dPr>
                  <m:ctrlPr>
                    <w:rPr>
                      <w:rFonts w:ascii="Cambria Math" w:hAnsi="Cambria Math"/>
                    </w:rPr>
                  </m:ctrlPr>
                </m:dPr>
                <m:e>
                  <m:r>
                    <w:rPr>
                      <w:rFonts w:ascii="Cambria Math" w:hAnsi="Cambria Math"/>
                    </w:rPr>
                    <m:t>11017-1004</m:t>
                  </m:r>
                </m:e>
              </m:d>
              <m:r>
                <w:rPr>
                  <w:rFonts w:ascii="Cambria Math" w:hAnsi="Cambria Math"/>
                </w:rPr>
                <m:t>!</m:t>
              </m:r>
            </m:den>
          </m:f>
          <m:r>
            <w:rPr>
              <w:rFonts w:ascii="Cambria Math" w:hAnsi="Cambria Math"/>
            </w:rPr>
            <m:t>=∞</m:t>
          </m:r>
        </m:oMath>
      </m:oMathPara>
    </w:p>
    <w:p w14:paraId="46E0C41D" w14:textId="77777777" w:rsidR="001C5262" w:rsidRDefault="009D6A65">
      <w:pPr>
        <w:spacing w:line="480" w:lineRule="auto"/>
        <w:ind w:firstLine="360"/>
        <w:rPr>
          <w:lang w:val="en-GB"/>
        </w:rPr>
      </w:pPr>
      <w:r>
        <w:rPr>
          <w:lang w:val="en-GB"/>
        </w:rPr>
        <w:t>The number of possible random samples is well over 1,000. We chose to generate 10,000 random samples, as a compromise between the calculation time and the need of a large number of samples to account for the size of the phylogeny and of the sample.</w:t>
      </w:r>
    </w:p>
    <w:p w14:paraId="37D075E3" w14:textId="77777777" w:rsidR="001C5262" w:rsidRPr="00920F3A" w:rsidRDefault="009D6A65">
      <w:pPr>
        <w:spacing w:line="480" w:lineRule="auto"/>
        <w:ind w:firstLine="360"/>
        <w:rPr>
          <w:lang w:val="en-GB"/>
        </w:rPr>
      </w:pPr>
      <w:r>
        <w:rPr>
          <w:lang w:val="en-GB"/>
        </w:rPr>
        <w:t xml:space="preserve">The function </w:t>
      </w:r>
      <w:r>
        <w:rPr>
          <w:rFonts w:ascii="Courier New" w:hAnsi="Courier New" w:cs="Courier New"/>
          <w:lang w:val="en-GB"/>
        </w:rPr>
        <w:t>compost</w:t>
      </w:r>
      <w:r>
        <w:rPr>
          <w:lang w:val="en-GB"/>
        </w:rPr>
        <w:t xml:space="preserve"> is run, and create a set of 10,000 different random samples of size 1,004 species, taken within the phylogeny of all birds. </w:t>
      </w:r>
    </w:p>
    <w:p w14:paraId="534747C7" w14:textId="0E7D5815" w:rsidR="001C5262" w:rsidRPr="00920F3A" w:rsidRDefault="009D6A65">
      <w:pPr>
        <w:spacing w:line="480" w:lineRule="auto"/>
        <w:ind w:firstLine="360"/>
        <w:rPr>
          <w:lang w:val="en-GB"/>
        </w:rPr>
      </w:pPr>
      <w:r>
        <w:rPr>
          <w:lang w:val="en-GB"/>
        </w:rPr>
        <w:lastRenderedPageBreak/>
        <w:t xml:space="preserve">Next, the function </w:t>
      </w:r>
      <w:proofErr w:type="spellStart"/>
      <w:r>
        <w:rPr>
          <w:rFonts w:ascii="Courier New" w:hAnsi="Courier New" w:cs="Courier New"/>
          <w:lang w:val="en-GB"/>
        </w:rPr>
        <w:t>result.compost</w:t>
      </w:r>
      <w:proofErr w:type="spellEnd"/>
      <w:r>
        <w:rPr>
          <w:lang w:val="en-GB"/>
        </w:rPr>
        <w:t xml:space="preserve"> is used to analyse the distribution of the </w:t>
      </w:r>
      <w:proofErr w:type="spellStart"/>
      <w:r>
        <w:rPr>
          <w:lang w:val="en-GB"/>
        </w:rPr>
        <w:t>PD</w:t>
      </w:r>
      <w:r>
        <w:rPr>
          <w:vertAlign w:val="subscript"/>
          <w:lang w:val="en-GB"/>
        </w:rPr>
        <w:t>Faith</w:t>
      </w:r>
      <w:proofErr w:type="spellEnd"/>
      <w:r>
        <w:rPr>
          <w:lang w:val="en-GB"/>
        </w:rPr>
        <w:t xml:space="preserve">. We decided to plot a boxplot and to realize a one-sample one-tailed t-test. The results show that the sample is phylogenetically relevant, with a </w:t>
      </w:r>
      <w:proofErr w:type="spellStart"/>
      <w:r>
        <w:rPr>
          <w:lang w:val="en-GB"/>
        </w:rPr>
        <w:t>PD</w:t>
      </w:r>
      <w:r>
        <w:rPr>
          <w:vertAlign w:val="subscript"/>
          <w:lang w:val="en-GB"/>
        </w:rPr>
        <w:t>Faith</w:t>
      </w:r>
      <w:proofErr w:type="spellEnd"/>
      <w:r>
        <w:rPr>
          <w:lang w:val="en-GB"/>
        </w:rPr>
        <w:t xml:space="preserve"> significantly higher than the mean of the random samples </w:t>
      </w:r>
      <w:r>
        <w:rPr>
          <w:color w:val="F07F09"/>
          <w:lang w:val="en-GB"/>
        </w:rPr>
        <w:t xml:space="preserve">(Fig. </w:t>
      </w:r>
      <w:r w:rsidR="00920F3A">
        <w:rPr>
          <w:color w:val="F07F09"/>
          <w:lang w:val="en-GB"/>
        </w:rPr>
        <w:t>5</w:t>
      </w:r>
      <w:r>
        <w:rPr>
          <w:color w:val="F07F09"/>
          <w:lang w:val="en-GB"/>
        </w:rPr>
        <w:t>)</w:t>
      </w:r>
      <w:r>
        <w:rPr>
          <w:lang w:val="en-GB"/>
        </w:rPr>
        <w:t>.</w:t>
      </w:r>
    </w:p>
    <w:p w14:paraId="70996D9D" w14:textId="77777777" w:rsidR="001C5262" w:rsidRDefault="009D6A65">
      <w:pPr>
        <w:spacing w:line="480" w:lineRule="auto"/>
        <w:ind w:firstLine="360"/>
        <w:rPr>
          <w:lang w:val="en-GB"/>
        </w:rPr>
      </w:pPr>
      <w:r>
        <w:rPr>
          <w:lang w:val="en-GB"/>
        </w:rPr>
        <w:t>If the tested sample wasn’t representative of the phylogeny, we could have retrieved the best random sample in order to compare them. This can be a starting point to improve the tested sample’s representativeness.</w:t>
      </w:r>
    </w:p>
    <w:p w14:paraId="490F1573" w14:textId="77777777" w:rsidR="001C5262" w:rsidRDefault="009D6A65">
      <w:pPr>
        <w:pStyle w:val="Titre41"/>
        <w:spacing w:line="480" w:lineRule="auto"/>
        <w:rPr>
          <w:lang w:val="en-GB"/>
        </w:rPr>
      </w:pPr>
      <w:r>
        <w:rPr>
          <w:lang w:val="en-GB"/>
        </w:rPr>
        <w:t>Ecological relevance</w:t>
      </w:r>
    </w:p>
    <w:p w14:paraId="62B6A887" w14:textId="77777777" w:rsidR="001C5262" w:rsidRPr="00920F3A" w:rsidRDefault="009D6A65">
      <w:pPr>
        <w:spacing w:line="480" w:lineRule="auto"/>
        <w:ind w:firstLine="708"/>
        <w:rPr>
          <w:lang w:val="en-GB"/>
        </w:rPr>
      </w:pPr>
      <w:r>
        <w:rPr>
          <w:lang w:val="en-GB"/>
        </w:rPr>
        <w:t xml:space="preserve">The tested-sample was also created to represent a diversity of habitats, body size, and locomotion abilities. We want to see the relevance of the sample relatively to these traits. To do so, we use the function </w:t>
      </w:r>
      <w:r>
        <w:rPr>
          <w:rFonts w:ascii="Courier New" w:hAnsi="Courier New" w:cs="Courier New"/>
          <w:lang w:val="en-GB"/>
        </w:rPr>
        <w:t>metrics</w:t>
      </w:r>
      <w:r>
        <w:rPr>
          <w:lang w:val="en-GB"/>
        </w:rPr>
        <w:t xml:space="preserve">. </w:t>
      </w:r>
    </w:p>
    <w:p w14:paraId="146C3563" w14:textId="77777777" w:rsidR="001C5262" w:rsidRPr="00920F3A" w:rsidRDefault="009D6A65">
      <w:pPr>
        <w:spacing w:line="480" w:lineRule="auto"/>
        <w:ind w:firstLine="708"/>
        <w:rPr>
          <w:lang w:val="en-GB"/>
        </w:rPr>
      </w:pPr>
      <w:r>
        <w:rPr>
          <w:lang w:val="en-GB"/>
        </w:rPr>
        <w:t xml:space="preserve">The first step is to create a traits table that gives the traits characteristics for each species in the sample, and to check that the species names are matching the phylogeny. We took the traits table from the supplementary material of </w:t>
      </w:r>
      <w:r w:rsidR="001C5262">
        <w:fldChar w:fldCharType="begin"/>
      </w:r>
      <w:r w:rsidRPr="00920F3A">
        <w:rPr>
          <w:lang w:val="en-GB"/>
        </w:rPr>
        <w:instrText>ADDIN ZOTERO_ITEM CSL_CITATION {"citationID":"iyjXrJeg","properties":{"formattedCitation":"(Provini &amp; H\\uc0\\u246{}fling, 2020)","plainCitation":"(Provini &amp; Höfling, 2020)","noteIndex":0},"citationItems":[{"id":326,"uris":["http://zotero.org/users/10180846/items/TPUU6K7V"],"itemData":{"id":326,"type":"article-journal","abstract":"Abstract\n            Birds can use different types of gaits to move on the ground: they either walk, hop, or run. Although velocity can easily explain a preference for running, it remains unclear what drives a bird species to favor hopping over walking. As many hopping birds are relatively small and arboreal, we wanted to test the link between size, arboreality, and hopping ability. First, we carried out ancestral character state reconstructions of size range, hopping ability, and habitat traits on over 1000 species of birds. We found that both hopping ability and arboreality were derived and significantly correlated traits in avian evolution. Second, we tested the influence of hopping ability on the morphology of the lower appendicular skeleton by quantifying the shape differences of the pelvis and the three long bones of the hind limbs in 47 avian species with different habitats and gait preferences. We used geometric morphometrics on 3D landmarks, digitized on micro–computed tomography (micro-CT) and surface scans of the pelvis, femur, tibiotarsus, and tarsometatarsus. Locomotion habits significantly influence the conformation of the pelvis, especially at the origin of hip and knee muscle extensors. Interestingly, habitat, more than locomotion habits, significantly changed tarsometatarsus conformation. The morphology of the distal part of the tarsometatarsus constrains digit orientation, which leads to a greater ability to perch, an advantageous trait in arboreality. The results of this work suggest an arboreal origin of hopping and illuminate the evolution of avian terrestrial locomotion.[Anatomy; avian; gait; leg; lifestyle; pelvis; tree-dwelling.]","container-title":"Systematic Biology","DOI":"10.1093/sysbio/syaa015","ISSN":"1063-5157, 1076-836X","issue":"5","language":"en","license":"https://academic.oup.com/journals/pages/open_access/funder_policies/chorus/standard_publication_model","page":"962-972","source":"DOI.org (Crossref)","title":"To Hop or Not to Hop? The Answer Is in the Bird Trees","title-short":"To Hop or Not to Hop?","volume":"69","author":[{"family":"Provini","given":"Pauline"},{"family":"Höfling","given":"Elizabeth"}],"editor":[{"family":"Warren","given":"Dan"}],"issued":{"date-parts":[["2020",9,1]]},"citation-key":"proviniHopNotHop2020"}}],"schema":"https://github.com/citation-style-language/schema/raw/master/csl-citation.json"}</w:instrText>
      </w:r>
      <w:r w:rsidR="001C5262">
        <w:fldChar w:fldCharType="separate"/>
      </w:r>
      <w:r>
        <w:rPr>
          <w:rFonts w:cs="Calibri"/>
          <w:szCs w:val="24"/>
          <w:lang w:val="en-GB"/>
        </w:rPr>
        <w:t>Provini &amp; Höfling (2020)</w:t>
      </w:r>
      <w:r w:rsidR="001C5262">
        <w:fldChar w:fldCharType="end"/>
      </w:r>
      <w:r>
        <w:rPr>
          <w:lang w:val="en-GB"/>
        </w:rPr>
        <w:t xml:space="preserve">. The traits we are interested in are the habitat, body size, and locomotion abilities. Habitat can be of two types: ground and trees; body size can be of three types: large, medium and small; and locomotion can be of two types: walking and hopping. We found 83 species with non-matching names, which were modified after </w:t>
      </w:r>
      <w:proofErr w:type="spellStart"/>
      <w:r>
        <w:rPr>
          <w:lang w:val="en-GB"/>
        </w:rPr>
        <w:t>Avibase</w:t>
      </w:r>
      <w:proofErr w:type="spellEnd"/>
      <w:r>
        <w:rPr>
          <w:lang w:val="en-GB"/>
        </w:rPr>
        <w:t xml:space="preserve"> database </w:t>
      </w:r>
      <w:r w:rsidR="001C5262">
        <w:fldChar w:fldCharType="begin"/>
      </w:r>
      <w:r w:rsidRPr="00920F3A">
        <w:rPr>
          <w:lang w:val="en-GB"/>
        </w:rPr>
        <w:instrText>ADDIN ZOTERO_ITEM CSL_CITATION {"citationID":"aRzdY8XH","properties":{"formattedCitation":"(Lepage et al., 2014)","plainCitation":"(Lepage et al., 2014)","noteIndex":0},"citationItems":[{"id":762,"uris":["http://zotero.org/users/10180846/items/V8C9CFDT"],"itemData":{"id":762,"type":"article-journal","abstract":"Scientific names of biological entities offer an imperfect resolution of the concepts that they are intended to represent. Often they are labels applied to entities ranging from entire populations to individual specimens representing those populations, even though such names only unambiguously identify the type specimen to which they were originally attached. Thus the real-life referents of names are constantly changing as biological circumscriptions are redefined and thereby alter the sets of individuals bearing those names. This problem is compounded by other characteristics of names that make them ambiguous identifiers of biological concepts, including emendations, homonymy and synonymy. Taxonomic concepts have been proposed as a way to address issues related to scientific names, but they have yet to receive broad recognition or implementation. Some efforts have been made towards building systems that address these issues by cataloguing and organizing taxonomic concepts, but most are still in conceptual or proof-of-concept stage. We present the on-line database Avibase as one possible approach to organizing taxonomic concepts. Avibase has been successfully used to describe and organize 844,000 species-level and 705,000 subspecies-level taxonomic concepts across every major bird taxonomic checklist of the last 125 years. The use of taxonomic concepts in place of scientific names, coupled with efficient resolution services, is a major step toward addressing some of the main deficiencies in the current practices of scientific name dissemination and use.","container-title":"ZooKeys","DOI":"10.3897/zookeys.420.7089","ISSN":"1313-2989","issue":"420","journalAbbreviation":"Zookeys","note":"PMID: 25061375\nPMCID: PMC4109484","page":"117-135","source":"PubMed Central","title":"Avibase – a database system for managing and organizing taxonomic concepts","author":[{"family":"Lepage","given":"Denis"},{"family":"Vaidya","given":"Gaurav"},{"family":"Guralnick","given":"Robert"}],"issued":{"date-parts":[["2014",6,25]]},"citation-key":"lepageAvibaseDatabaseSystem2014"}}],"schema":"https://github.com/citation-style-language/schema/raw/master/csl-citation.json"}</w:instrText>
      </w:r>
      <w:r w:rsidR="001C5262">
        <w:fldChar w:fldCharType="separate"/>
      </w:r>
      <w:r>
        <w:rPr>
          <w:rFonts w:cs="Calibri"/>
          <w:lang w:val="en-GB"/>
        </w:rPr>
        <w:t>(Lepage et al., 2014)</w:t>
      </w:r>
      <w:r w:rsidR="001C5262">
        <w:fldChar w:fldCharType="end"/>
      </w:r>
      <w:r>
        <w:rPr>
          <w:lang w:val="en-GB"/>
        </w:rPr>
        <w:t>.</w:t>
      </w:r>
    </w:p>
    <w:p w14:paraId="1648D17D" w14:textId="16848FF1" w:rsidR="001C5262" w:rsidRPr="00920F3A" w:rsidRDefault="009D6A65">
      <w:pPr>
        <w:spacing w:line="480" w:lineRule="auto"/>
        <w:ind w:firstLine="708"/>
        <w:rPr>
          <w:lang w:val="en-GB"/>
        </w:rPr>
      </w:pPr>
      <w:r>
        <w:rPr>
          <w:lang w:val="en-GB"/>
        </w:rPr>
        <w:t xml:space="preserve">The function is then run. It gives the counts and proportions of species in each category of each trait. Results show that the sample is well balanced according to the habitat and the locomotion, with very close proportions in each trait’s characteristics </w:t>
      </w:r>
      <w:r>
        <w:rPr>
          <w:color w:val="F07F09"/>
          <w:lang w:val="en-GB"/>
        </w:rPr>
        <w:t xml:space="preserve">(Fig. </w:t>
      </w:r>
      <w:r w:rsidR="00920F3A">
        <w:rPr>
          <w:color w:val="F07F09"/>
          <w:lang w:val="en-GB"/>
        </w:rPr>
        <w:t>5</w:t>
      </w:r>
      <w:r>
        <w:rPr>
          <w:color w:val="F07F09"/>
          <w:lang w:val="en-GB"/>
        </w:rPr>
        <w:t>)</w:t>
      </w:r>
      <w:r>
        <w:rPr>
          <w:lang w:val="en-GB"/>
        </w:rPr>
        <w:t xml:space="preserve">. However, for the size trait, the “large” category is under-represented, with only 0.05% of species. This category is defined as species weighing between 2,980g and 111kg </w:t>
      </w:r>
      <w:r w:rsidR="001C5262">
        <w:fldChar w:fldCharType="begin"/>
      </w:r>
      <w:r w:rsidRPr="00920F3A">
        <w:rPr>
          <w:lang w:val="en-GB"/>
        </w:rPr>
        <w:instrText>ADDIN ZOTERO_ITEM CSL_CITATION {"citationID":"NaKxU5ce","properties":{"formattedCitation":"(Provini &amp; H\\uc0\\u246{}fling, 2020)","plainCitation":"(Provini &amp; Höfling, 2020)","noteIndex":0},"citationItems":[{"id":326,"uris":["http://zotero.org/users/10180846/items/TPUU6K7V"],"itemData":{"id":326,"type":"article-journal","abstract":"Abstract\n            Birds can use different types of gaits to move on the ground: they either walk, hop, or run. Although velocity can easily explain a preference for running, it remains unclear what drives a bird species to favor hopping over walking. As many hopping birds are relatively small and arboreal, we wanted to test the link between size, arboreality, and hopping ability. First, we carried out ancestral character state reconstructions of size range, hopping ability, and habitat traits on over 1000 species of birds. We found that both hopping ability and arboreality were derived and significantly correlated traits in avian evolution. Second, we tested the influence of hopping ability on the morphology of the lower appendicular skeleton by quantifying the shape differences of the pelvis and the three long bones of the hind limbs in 47 avian species with different habitats and gait preferences. We used geometric morphometrics on 3D landmarks, digitized on micro–computed tomography (micro-CT) and surface scans of the pelvis, femur, tibiotarsus, and tarsometatarsus. Locomotion habits significantly influence the conformation of the pelvis, especially at the origin of hip and knee muscle extensors. Interestingly, habitat, more than locomotion habits, significantly changed tarsometatarsus conformation. The morphology of the distal part of the tarsometatarsus constrains digit orientation, which leads to a greater ability to perch, an advantageous trait in arboreality. The results of this work suggest an arboreal origin of hopping and illuminate the evolution of avian terrestrial locomotion.[Anatomy; avian; gait; leg; lifestyle; pelvis; tree-dwelling.]","container-title":"Systematic Biology","DOI":"10.1093/sysbio/syaa015","ISSN":"1063-5157, 1076-836X","issue":"5","language":"en","license":"https://academic.oup.com/journals/pages/open_access/funder_policies/chorus/standard_publication_model","page":"962-972","source":"DOI.org (Crossref)","title":"To Hop or Not to Hop? The Answer Is in the Bird Trees","title-short":"To Hop or Not to Hop?","volume":"69","author":[{"family":"Provini","given":"Pauline"},{"family":"Höfling","given":"Elizabeth"}],"editor":[{"family":"Warren","given":"Dan"}],"issu</w:instrText>
      </w:r>
      <w:r>
        <w:instrText>ed":{"date-parts":[["2020",9,1]]},"citation-key":"proviniHopNotHop2020"}}],"schema":"https://github.com/citation-style-language/schema/raw/master/csl-citation.json"}</w:instrText>
      </w:r>
      <w:r w:rsidR="001C5262">
        <w:fldChar w:fldCharType="separate"/>
      </w:r>
      <w:r>
        <w:rPr>
          <w:rFonts w:cs="Calibri"/>
          <w:szCs w:val="24"/>
        </w:rPr>
        <w:t>(Provini &amp; Höfling, 2020)</w:t>
      </w:r>
      <w:r w:rsidR="001C5262">
        <w:fldChar w:fldCharType="end"/>
      </w:r>
      <w:r>
        <w:rPr>
          <w:lang w:val="en-GB"/>
        </w:rPr>
        <w:t xml:space="preserve">. In the </w:t>
      </w:r>
      <w:proofErr w:type="spellStart"/>
      <w:r>
        <w:rPr>
          <w:lang w:val="en-GB"/>
        </w:rPr>
        <w:t>EltonTraits</w:t>
      </w:r>
      <w:proofErr w:type="spellEnd"/>
      <w:r>
        <w:rPr>
          <w:lang w:val="en-GB"/>
        </w:rPr>
        <w:t xml:space="preserve"> 1.0 database </w:t>
      </w:r>
      <w:r w:rsidR="001C5262">
        <w:fldChar w:fldCharType="begin"/>
      </w:r>
      <w:r>
        <w:instrText>ADDIN ZOTERO_ITEM CSL_CITATION {"citationID":"Zz5lFwXV","properties":{"formattedCitation":"(Wilman et al., 2014)","plainCitation":"(Wilman et al., 2014)","noteIndex":0},"citationItems":[{"id":753,"uris":["http://zotero.org/users/10180846/items/BQVPQCBL"],"itemData":{"id":753,"type":"article-journal","abstract":"Species are characterized by physiological, behavioral, and ecological attributes that are all subject to varying evolutionary and ecological constraints and jointly determine species' role and function in ecosystems. Attributes such as diet, foraging strata, foraging time, and body size, in particular, characterize a large portion of the “Eltonian” niches of species. Here we present a global species-level compilation of these key attributes for all 9993 and 5400 extant bird and mammal species derived from key literature sources. Global handbooks and monographs allowed the consistent sourcing of attributes for most species. For diet and foraging stratum we followed a defined protocol to translate the verbal descriptions into standardized, semiquantitative information about relative importance of different categories. Together with body size (continuous) and activity time (categorical) this enables a much finer distinction of species' foraging ecology than typical categorical guild assignments allow. Attributes lacking information for specific species are flagged, and interpolated values based on taxonomy are provided instead. The presented data set is limited by, among others, these select cases missing observed data, by errors and uncertainty in the expert assessment as presented in the literature, and by the lack of intraspecific information. However, the standardized and transparent nature and complete global coverage of the dat</w:instrText>
      </w:r>
      <w:r w:rsidRPr="00920F3A">
        <w:rPr>
          <w:lang w:val="en-GB"/>
        </w:rPr>
        <w:instrText>a set should support an array of potential studies in biogeography, community ecology, macroevolution, global change biology, and conservation. Potential uses include comparative work involving these traits as focal or secondary variables, ecological research on the trait or trophic structure of communities, or conservation science concerned with the loss of function among species or in ecosystems in a changing world. We hope that this publication will spur the sharing, collaborative curation, and extension of data to the benefit of a more integrative, rigorous, and global biodiversity science.","container-title":"Ecology","DOI":"10.1890/13-1917.1","ISSN":"1939-9170","issue":"7","language":"en","license":"© 2014 by the Ecological Society of America","note":"_eprint: https://esajournals.onlinelibrary.wiley.com/doi/pdf/10.1890/13-1917.1","page":"2027-2027","source":"Wiley Online Library","title":"EltonTraits 1.0: Species-level foraging attributes of the world's birds and mammals","title-short":"EltonTraits 1.0","volume":"95","author":[{"family":"Wilman","given":"Hamish"},{"family":"Belmaker","given":"Jonathan"},{"family":"Simpson","given":"Jennifer"},{"family":"Rosa","given":"Carolina","non-dropping-particle":"de la"},{"family":"Rivadeneira","given":"Marcelo M."},{"family":"Jetz","given":"Walter"}],"issued":{"date-parts":[["2014"]]},"citation-key":"wilmanEltonTraits10Specieslevel2014"}}],"schema":"https://github.com/citation-style-language/schema/raw/master/csl-citation.json"}</w:instrText>
      </w:r>
      <w:r w:rsidR="001C5262">
        <w:fldChar w:fldCharType="separate"/>
      </w:r>
      <w:r>
        <w:rPr>
          <w:rFonts w:cs="Calibri"/>
          <w:lang w:val="en-GB"/>
        </w:rPr>
        <w:t>(</w:t>
      </w:r>
      <w:proofErr w:type="spellStart"/>
      <w:r>
        <w:rPr>
          <w:rFonts w:cs="Calibri"/>
          <w:lang w:val="en-GB"/>
        </w:rPr>
        <w:t>Wilman</w:t>
      </w:r>
      <w:proofErr w:type="spellEnd"/>
      <w:r>
        <w:rPr>
          <w:rFonts w:cs="Calibri"/>
          <w:lang w:val="en-GB"/>
        </w:rPr>
        <w:t xml:space="preserve"> et al., 2014)</w:t>
      </w:r>
      <w:r w:rsidR="001C5262">
        <w:fldChar w:fldCharType="end"/>
      </w:r>
      <w:r>
        <w:rPr>
          <w:lang w:val="en-GB"/>
        </w:rPr>
        <w:t xml:space="preserve">, used by the authors to collect the size data, this category represents 154 species out of 10,205 birds species, or 1.5% of all birds species. As a comparison, the medium </w:t>
      </w:r>
      <w:r>
        <w:rPr>
          <w:lang w:val="en-GB"/>
        </w:rPr>
        <w:lastRenderedPageBreak/>
        <w:t xml:space="preserve">category (from 55g to 2,980g) represents 37.4% of all bird species (3,815 species), and the small category (up to 55g) contains 57% of all birds (5,814 species). The remaining 4% are species with missing data in the </w:t>
      </w:r>
      <w:proofErr w:type="spellStart"/>
      <w:r>
        <w:rPr>
          <w:lang w:val="en-GB"/>
        </w:rPr>
        <w:t>EltonTraits</w:t>
      </w:r>
      <w:proofErr w:type="spellEnd"/>
      <w:r>
        <w:rPr>
          <w:lang w:val="en-GB"/>
        </w:rPr>
        <w:t xml:space="preserve"> 1.0 database. The proportion of large species in the sample is therefore consistent with the data available for this category.</w:t>
      </w:r>
    </w:p>
    <w:p w14:paraId="02995692" w14:textId="77777777" w:rsidR="001C5262" w:rsidRDefault="009D6A65">
      <w:pPr>
        <w:pStyle w:val="Titre41"/>
        <w:spacing w:line="480" w:lineRule="auto"/>
        <w:rPr>
          <w:lang w:val="en-GB"/>
        </w:rPr>
      </w:pPr>
      <w:bookmarkStart w:id="3" w:name="_Toc204704998"/>
      <w:r>
        <w:rPr>
          <w:lang w:val="en-GB"/>
        </w:rPr>
        <w:t>Conclusion</w:t>
      </w:r>
      <w:bookmarkEnd w:id="3"/>
    </w:p>
    <w:p w14:paraId="4F9ACE51" w14:textId="77777777" w:rsidR="001C5262" w:rsidRPr="00920F3A" w:rsidRDefault="009D6A65">
      <w:pPr>
        <w:spacing w:line="480" w:lineRule="auto"/>
        <w:rPr>
          <w:lang w:val="en-GB"/>
        </w:rPr>
      </w:pPr>
      <w:r>
        <w:rPr>
          <w:lang w:val="en-GB"/>
        </w:rPr>
        <w:t xml:space="preserve">The dataset of 1,004 birds species from </w:t>
      </w:r>
      <w:r w:rsidR="001C5262">
        <w:fldChar w:fldCharType="begin"/>
      </w:r>
      <w:r w:rsidRPr="00920F3A">
        <w:rPr>
          <w:lang w:val="en-GB"/>
        </w:rPr>
        <w:instrText>ADDIN ZOTERO_ITEM CSL_CITATION {"citationID":"a8VtImIW","properties":{"formattedCitation":"(Provini &amp; H\\uc0\\u246{}fling, 2020)","plainCitation":"(Provini &amp; Höfling, 2020)","noteIndex":0},"citationItems":[{"id":326,"uris":["http://zotero.org/users/10180846/items/TPUU6K7V"],"itemData":{"id":326,"type":"article-journal","abstract":"Abstract\n            Birds can use different types of gaits to move on the ground: they either walk, hop, or run. Although velocity can easily explain a preference for running, it remains unclear what drives a bird species to favor hopping over walking. As many hopping birds are relatively small and arboreal, we wanted to test the link between size, arboreality, and hopping ability. First, we carried out ancestral character state reconstructions of size range, hopping ability, and habitat traits on over 1000 species of birds. We found that both hopping ability and arboreality were derived and significantly correlated traits in avian evolution. Second, we tested the influence of hopping ability on the morphology of the lower appendicular skeleton by quantifying the shape differences of the pelvis and the three long bones of the hind limbs in 47 avian species with different habitats and gait preferences. We used geometric morphometrics on 3D landmarks, digitized on micro–computed tomography (micro-CT) and surface scans of the pelvis, femur, tibiotarsus, and tarsometatarsus. Locomotion habits significantly influence the conformation of the pelvis, especially at the origin of hip and knee muscle extensors. Interestingly, habitat, more than locomotion habits, significantly changed tarsometatarsus conformation. The morphology of the distal part of the tarsometatarsus constrains digit orientation, which leads to a greater ability to perch, an advantageous trait in arboreality. The results of this work suggest an arboreal origin of hopping and illuminate the evolution of avian terrestrial locomotion.[Anatomy; avian; gait; leg; lifestyle; pelvis; tree-dwelling.]","container-title":"Systematic Biology","DOI":"10.1093/sysbio/syaa015","ISSN":"1063-5157, 1076-836X","issue":"5","language":"en","license":"https://academic.oup.com/journals/pages/open_access/funder_policies/chorus/standard_publication_model","page":"962-972","source":"DOI.org (Crossref)","title":"To Hop or Not to Hop? The Answer Is in the Bird Trees","title-short":"To Hop or Not to Hop?","volume":"69","author":[{"family":"Provini","given":"Pauline"},{"family":"Höfling","given":"Elizabeth"}],"editor":[{"family":"Warren","given":"Dan"}],"issued":{"date-parts":[["2020",9,1]]},"citation-key":"proviniHopNotHop2020"}}],"schema":"https://github.com/citation-style-language/schema/raw/master/csl-citation.json"}</w:instrText>
      </w:r>
      <w:r w:rsidR="001C5262">
        <w:fldChar w:fldCharType="separate"/>
      </w:r>
      <w:r>
        <w:rPr>
          <w:rFonts w:cs="Calibri"/>
          <w:lang w:val="en-GB"/>
        </w:rPr>
        <w:t>Provini &amp; Höfling (2020)</w:t>
      </w:r>
      <w:r w:rsidR="001C5262">
        <w:fldChar w:fldCharType="end"/>
      </w:r>
      <w:r>
        <w:rPr>
          <w:lang w:val="en-GB"/>
        </w:rPr>
        <w:t xml:space="preserve"> was tested for its phylogenetic and ecological relevance. The sample was shown to have a high </w:t>
      </w:r>
      <w:proofErr w:type="spellStart"/>
      <w:r>
        <w:rPr>
          <w:lang w:val="en-GB"/>
        </w:rPr>
        <w:t>PD</w:t>
      </w:r>
      <w:r>
        <w:rPr>
          <w:vertAlign w:val="subscript"/>
          <w:lang w:val="en-GB"/>
        </w:rPr>
        <w:t>Faith</w:t>
      </w:r>
      <w:proofErr w:type="spellEnd"/>
      <w:r>
        <w:rPr>
          <w:vertAlign w:val="subscript"/>
          <w:lang w:val="en-GB"/>
        </w:rPr>
        <w:t>,</w:t>
      </w:r>
      <w:r>
        <w:rPr>
          <w:lang w:val="en-GB"/>
        </w:rPr>
        <w:t xml:space="preserve"> meaning that it was representative of the phylogeny of birds. Moreover, it was well balanced according to the habitat and locomotion traits. The size trait was under-represented, but this was consistent with the reality of the group. </w:t>
      </w:r>
    </w:p>
    <w:p w14:paraId="00E9EAE0" w14:textId="77777777" w:rsidR="001C5262" w:rsidRPr="00920F3A" w:rsidRDefault="009D6A65">
      <w:pPr>
        <w:pStyle w:val="Titre21"/>
        <w:spacing w:line="480" w:lineRule="auto"/>
        <w:rPr>
          <w:lang w:val="en-GB"/>
        </w:rPr>
      </w:pPr>
      <w:bookmarkStart w:id="4" w:name="_Toc204705000"/>
      <w:r>
        <w:rPr>
          <w:i/>
          <w:iCs/>
          <w:lang w:val="en-GB"/>
        </w:rPr>
        <w:t>A priori</w:t>
      </w:r>
      <w:r>
        <w:rPr>
          <w:lang w:val="en-GB"/>
        </w:rPr>
        <w:t xml:space="preserve"> process: creation of a sample for </w:t>
      </w:r>
      <w:bookmarkStart w:id="5" w:name="_Toc204705001"/>
      <w:bookmarkEnd w:id="4"/>
      <w:r>
        <w:rPr>
          <w:lang w:val="en-GB"/>
        </w:rPr>
        <w:t>the digitization campaign of birds’ fluid collection in natural history collections (</w:t>
      </w:r>
      <w:proofErr w:type="spellStart"/>
      <w:r>
        <w:rPr>
          <w:lang w:val="en-GB"/>
        </w:rPr>
        <w:t>e_COL</w:t>
      </w:r>
      <w:proofErr w:type="spellEnd"/>
      <w:r>
        <w:rPr>
          <w:lang w:val="en-GB"/>
        </w:rPr>
        <w:t>+ project)</w:t>
      </w:r>
      <w:bookmarkEnd w:id="5"/>
      <w:r>
        <w:rPr>
          <w:lang w:val="en-GB"/>
        </w:rPr>
        <w:t>.</w:t>
      </w:r>
    </w:p>
    <w:p w14:paraId="28E437A4" w14:textId="77777777" w:rsidR="001C5262" w:rsidRPr="00920F3A" w:rsidRDefault="009D6A65">
      <w:pPr>
        <w:spacing w:line="480" w:lineRule="auto"/>
        <w:rPr>
          <w:lang w:val="en-GB"/>
        </w:rPr>
      </w:pPr>
      <w:r>
        <w:rPr>
          <w:lang w:val="en-GB"/>
        </w:rPr>
        <w:tab/>
        <w:t xml:space="preserve">The second application focuses on the </w:t>
      </w:r>
      <w:r>
        <w:rPr>
          <w:i/>
          <w:iCs/>
          <w:lang w:val="en-GB"/>
        </w:rPr>
        <w:t>a priori</w:t>
      </w:r>
      <w:r>
        <w:rPr>
          <w:lang w:val="en-GB"/>
        </w:rPr>
        <w:t xml:space="preserve"> process with the creation of an optimised sample for a project of collections digitization.</w:t>
      </w:r>
      <w:r>
        <w:rPr>
          <w:lang w:val="en-GB"/>
        </w:rPr>
        <w:tab/>
      </w:r>
    </w:p>
    <w:p w14:paraId="5637651F" w14:textId="640A3955" w:rsidR="001C5262" w:rsidRPr="00920F3A" w:rsidRDefault="009D6A65">
      <w:pPr>
        <w:spacing w:line="480" w:lineRule="auto"/>
        <w:ind w:firstLine="708"/>
        <w:rPr>
          <w:lang w:val="en-GB"/>
        </w:rPr>
      </w:pPr>
      <w:r>
        <w:rPr>
          <w:lang w:val="en-GB"/>
        </w:rPr>
        <w:t>The e-COL+ project aims to create 3D digital models of a wide range of specimens, representative of the diversity of extant and extinct metazoans held in French natural history collections</w:t>
      </w:r>
      <w:r w:rsidR="00F314E8">
        <w:rPr>
          <w:lang w:val="en-GB"/>
        </w:rPr>
        <w:t xml:space="preserve"> (</w:t>
      </w:r>
      <w:hyperlink r:id="rId4" w:history="1">
        <w:r w:rsidR="00F314E8" w:rsidRPr="006C7100">
          <w:rPr>
            <w:rStyle w:val="Lienhypertexte"/>
            <w:rFonts w:ascii="Segoe UI" w:hAnsi="Segoe UI" w:cs="Segoe UI"/>
            <w:shd w:val="clear" w:color="auto" w:fill="FFFFFF"/>
            <w:lang w:val="en-GB"/>
          </w:rPr>
          <w:t>https://anr.fr/ProjetIA-21-ESRE-0053</w:t>
        </w:r>
      </w:hyperlink>
      <w:r w:rsidR="00F314E8" w:rsidRPr="00F314E8">
        <w:rPr>
          <w:rStyle w:val="object"/>
          <w:rFonts w:ascii="Segoe UI" w:hAnsi="Segoe UI" w:cs="Segoe UI"/>
          <w:color w:val="2B73D2"/>
          <w:sz w:val="21"/>
          <w:szCs w:val="21"/>
          <w:shd w:val="clear" w:color="auto" w:fill="FFFFFF"/>
          <w:lang w:val="en-GB"/>
        </w:rPr>
        <w:t xml:space="preserve">, </w:t>
      </w:r>
      <w:r w:rsidR="001C5262">
        <w:fldChar w:fldCharType="begin"/>
      </w:r>
      <w:r w:rsidRPr="00920F3A">
        <w:rPr>
          <w:lang w:val="en-GB"/>
        </w:rPr>
        <w:instrText>ADDIN ZOTERO_ITEM CSL_CITATION {"citationID":"uWvRj82O","properties":{"formattedCitation":"(Provini et al., 2024)","plainCitation":"(Provini et al., 2024)","noteIndex":0},"citationItems":[{"id":760,"uris":["http://zotero.org/users/10180846/items/E3ITTHP9"],"itemData":{"id":760,"type":"article-journal","abstract":"Abstract The mass digitization efforts associated with the e-COL+ project, focusing on French natural history collections, provide an invaluable opportunity to reassess the need to build a comprehensive 3D digital collection to complement existing 2D digital repositories. This article explores the importance of incorporating 3D data into digital collections, highlighting its significant impact on scientific research, conservation efforts, and public outreach campaigns. Although the e-COL+ project faces practical obstacles related to digitization, it also raises important theoretical questions about the complex interplay between physical and digital objects. Here, we challenge the concepts of digital clone and digital twin that are commonly used in the construction of digital collections. The digital twin concept more accurately captures the intricate and adaptive connection between physical and digital entities that results from the precise digitization techniques used and the evolving characteristics of the specimens found in natural history collections.","DOI":"10.1163/18253911-0390310115","language":"en","note":"publisher: Brill","source":"brill.com","title":"The e-COL+ Project, an Opportunity to Reflect on the Concept of Digital Twin","URL":"https://brill.com/view/journals/nun/39/3/article-p804_12.xml","author":[{"family":"Provini","given":"Pauline"},{"family":"Blettery","given":"Jonathan"},{"family":"Brabant","given":"Delphine"},{"family":"Bellugeon","given":"Franck"},{"family":"Pimparé","given":"Eva Perez"},{"family":"Leblanc","given":"Killian"},{"family":"Monvoisin","given":"Evariste"},{"family":"Robert","given":"Emmanuel"},{"family":"Fara","given":"Emmanuel"},{"family":"Gagnier","given":"Pierre-Yves"}],"accessed":{"date-parts":[["2025",9,1]]},"issued":{"date-parts":[["2024",10,25]]},"citation-key":"proviniECOLProjectOpportunity2024"}}],"schema":"https://github.com/citation-style-language/schema/raw/master/csl-citation.json"}</w:instrText>
      </w:r>
      <w:r w:rsidR="001C5262">
        <w:fldChar w:fldCharType="separate"/>
      </w:r>
      <w:proofErr w:type="spellStart"/>
      <w:r>
        <w:rPr>
          <w:rFonts w:cs="Calibri"/>
          <w:lang w:val="en-GB"/>
        </w:rPr>
        <w:t>Provini</w:t>
      </w:r>
      <w:proofErr w:type="spellEnd"/>
      <w:r>
        <w:rPr>
          <w:rFonts w:cs="Calibri"/>
          <w:lang w:val="en-GB"/>
        </w:rPr>
        <w:t xml:space="preserve"> et al. 2024)</w:t>
      </w:r>
      <w:r w:rsidR="001C5262">
        <w:fldChar w:fldCharType="end"/>
      </w:r>
      <w:r>
        <w:rPr>
          <w:lang w:val="en-GB"/>
        </w:rPr>
        <w:t xml:space="preserve">. Specimens from the fluid collections of the Museum national </w:t>
      </w:r>
      <w:proofErr w:type="spellStart"/>
      <w:r>
        <w:rPr>
          <w:lang w:val="en-GB"/>
        </w:rPr>
        <w:t>d’Histoire</w:t>
      </w:r>
      <w:proofErr w:type="spellEnd"/>
      <w:r>
        <w:rPr>
          <w:lang w:val="en-GB"/>
        </w:rPr>
        <w:t xml:space="preserve"> naturelle (MNHN, Paris, France) are being digitized in 3D as part of this project. However, it is impossible to scan every specimen of every species of the collections. The e-COL+ team have to set samples of species that are representative of the diversity of the targeted groups. The </w:t>
      </w:r>
      <w:r>
        <w:rPr>
          <w:i/>
          <w:iCs/>
          <w:lang w:val="en-GB"/>
        </w:rPr>
        <w:t>a priori</w:t>
      </w:r>
      <w:r>
        <w:rPr>
          <w:lang w:val="en-GB"/>
        </w:rPr>
        <w:t xml:space="preserve"> process can be used to help them with the creation of such sample.</w:t>
      </w:r>
    </w:p>
    <w:p w14:paraId="262F33BD" w14:textId="5EEF8AFD" w:rsidR="001C5262" w:rsidRPr="00920F3A" w:rsidRDefault="009D6A65">
      <w:pPr>
        <w:spacing w:line="480" w:lineRule="auto"/>
        <w:ind w:firstLine="708"/>
        <w:rPr>
          <w:lang w:val="en-GB"/>
        </w:rPr>
      </w:pPr>
      <w:r>
        <w:rPr>
          <w:lang w:val="en-GB"/>
        </w:rPr>
        <w:t xml:space="preserve">The MNHN bird’s fluid collections are composed of 588 species, but these are not representative of bird’s phylogeny </w:t>
      </w:r>
      <w:r>
        <w:rPr>
          <w:color w:val="F07F09"/>
          <w:lang w:val="en-GB"/>
        </w:rPr>
        <w:t xml:space="preserve">(Fig. </w:t>
      </w:r>
      <w:r w:rsidR="00920F3A">
        <w:rPr>
          <w:color w:val="F07F09"/>
          <w:lang w:val="en-GB"/>
        </w:rPr>
        <w:t>6</w:t>
      </w:r>
      <w:r>
        <w:rPr>
          <w:color w:val="F07F09"/>
          <w:lang w:val="en-GB"/>
        </w:rPr>
        <w:t>)</w:t>
      </w:r>
      <w:r>
        <w:rPr>
          <w:lang w:val="en-GB"/>
        </w:rPr>
        <w:t xml:space="preserve">. To avoid an accumulation of bias, the samples are created </w:t>
      </w:r>
      <w:r>
        <w:rPr>
          <w:lang w:val="en-GB"/>
        </w:rPr>
        <w:lastRenderedPageBreak/>
        <w:t xml:space="preserve">relatively to the phylogeny of all birds </w:t>
      </w:r>
      <w:r w:rsidR="001C5262">
        <w:fldChar w:fldCharType="begin"/>
      </w:r>
      <w:r w:rsidRPr="00920F3A">
        <w:rPr>
          <w:lang w:val="en-GB"/>
        </w:rPr>
        <w:instrText>ADDIN ZOTERO_ITEM CSL_CITATION {"citationID":"FtobkP4g","properties":{"formattedCitation":"(McTavish et al., 2024)","plainCitation":"(McTavish et al., 2024)","noteIndex":0},"citationItems":[{"id":679,"uris":["http://zotero.org/users/10180846/items/82DJKNZS"],"itemData":{"id":679,"type":"article","abstract":"Abstract\n          We present a complete, time-scaled, evolutionary tree of the world’s bird species. This tree unites phylogenetic estimates for 9,239 species from 262 studies published between 1990 and 2024, using the Open Tree synthesis algorithm. The remaining species are placed in the tree based on curated taxonomic information. The tips of this complete tree are aligned to the species in the Clements Taxonomy used by eBird and other resources, and cross-mapped to other taxonomic systems including the Open Tree of Life (Open Tree), National Center for Biotechnology Information (NCBI), and Global Biodiversity Information Facility (GBIF). The total number of named bird species varies between 10,824 and 11,017 across the taxonomy versions we applied (v2021, v2022 and v2023). We share complete trees for each taxonomy version. The procedure, software and data-stores we used to generate this tree are public and reproducible. The tree presented here is Aves v1.2 and can be easily updated with new phylogenetic information as new estimates are published. We demonstrate the types of large scale analyses this data resource enables by linking geographic data with the phylogeny to calculate the regional phylogenetic diversity of birds across the world. We will release updated versions of the phylogenetic synthesis and taxonomic translation tables annually. The procedure we describe here can be applied to developing complete phylogenetic estimates for any taxonomic group of interest.\n          \n            Significance statement\n            Birds are charismatic - well loved, and highly studied. Many new phylogenies elucidating avian birds evolutionary relationships are published every year. We have united phylogenetic estimates from hundreds of studies to create a complete evolutionary tree of all birds. While a variety of resources aggregate huge collections of trait, behavior and location data for birds, previously the barriers to linking data between these data resources and bird evolutionary history have limited the opportunities to do exciting large scale analyses. We have bridged that gap, and developed a system that allows us to easily update our understanding of bird evolution as new estimates are generated. We share a workflow and the software needed to create a complete evolutionary tree for any group.","DOI":"10.1101/2024.05.20.595017","language":"en","publisher":"Evolutionary Biology","source":"DOI.org (Crossref)","title":"A complete and dynamic tree of birds","URL":"http://biorxiv.org/lookup/doi/10.1101/2024.05.20.595017","author":[{"family":"McTavish","given":"Emily Jane"},{"family":"Gerbracht","given":"Jeff A."},{"family":"Holder","given":"Mark T."},{"family":"Iliff","given":"Marshall J."},{"family":"Lepage","given":"Denis"},{"family":"Rasmussen","given":"Pam"},{"family":"Redelings","given":"Benjamin"},{"family":"Sanchez Reyes","given":"Luna Luisa"},{"family":"Miller","given":"Eliot T."}],"accessed":{"date-parts":[["2025",6,11]]},"issued":{"date-parts":[["2024",5,22]]},"citation-key":"mctavishCompleteDynamicTree2024"}}],"schema":"https://github.com/citation-style-language/schema/raw/master/csl-citation.json"}</w:instrText>
      </w:r>
      <w:r w:rsidR="001C5262">
        <w:fldChar w:fldCharType="separate"/>
      </w:r>
      <w:r>
        <w:rPr>
          <w:rFonts w:cs="Calibri"/>
          <w:lang w:val="en-GB"/>
        </w:rPr>
        <w:t>(McTavish et al., 2024)</w:t>
      </w:r>
      <w:r w:rsidR="001C5262">
        <w:fldChar w:fldCharType="end"/>
      </w:r>
      <w:r>
        <w:rPr>
          <w:lang w:val="en-GB"/>
        </w:rPr>
        <w:t xml:space="preserve"> (version 1.4), instead of the phylogeny of birds in collection. </w:t>
      </w:r>
    </w:p>
    <w:p w14:paraId="7BE090CE" w14:textId="77777777" w:rsidR="001C5262" w:rsidRPr="00920F3A" w:rsidRDefault="009D6A65">
      <w:pPr>
        <w:spacing w:line="480" w:lineRule="auto"/>
        <w:ind w:firstLine="708"/>
        <w:rPr>
          <w:lang w:val="en-GB"/>
        </w:rPr>
      </w:pPr>
      <w:r>
        <w:rPr>
          <w:lang w:val="en-GB"/>
        </w:rPr>
        <w:t xml:space="preserve">The team wants to start with a list of 100 species to scan. The CT-scanner of the collections can handle species up to 40 cm, so that the sample has to be composed of species under this size. There are two ways to create the sample. We can either use the </w:t>
      </w:r>
      <w:proofErr w:type="gramStart"/>
      <w:r>
        <w:rPr>
          <w:rFonts w:ascii="Courier New" w:hAnsi="Courier New" w:cs="Courier New"/>
          <w:lang w:val="en-GB"/>
        </w:rPr>
        <w:t>opti.traits</w:t>
      </w:r>
      <w:proofErr w:type="gramEnd"/>
      <w:r>
        <w:rPr>
          <w:lang w:val="en-GB"/>
        </w:rPr>
        <w:t xml:space="preserve"> function because we want to optimise the phylogeny as well as the size of the species; or we can use the </w:t>
      </w:r>
      <w:r>
        <w:rPr>
          <w:rFonts w:ascii="Courier New" w:hAnsi="Courier New" w:cs="Courier New"/>
          <w:lang w:val="en-GB"/>
        </w:rPr>
        <w:t>bestsample</w:t>
      </w:r>
      <w:r>
        <w:rPr>
          <w:lang w:val="en-GB"/>
        </w:rPr>
        <w:t xml:space="preserve"> function, with a list of available data containing the species below 40cm.</w:t>
      </w:r>
    </w:p>
    <w:p w14:paraId="7120230C" w14:textId="77777777" w:rsidR="001C5262" w:rsidRPr="00920F3A" w:rsidRDefault="009D6A65">
      <w:pPr>
        <w:pStyle w:val="Titre41"/>
        <w:spacing w:line="480" w:lineRule="auto"/>
        <w:rPr>
          <w:lang w:val="en-GB"/>
        </w:rPr>
      </w:pPr>
      <w:bookmarkStart w:id="6" w:name="_Toc204705002"/>
      <w:r>
        <w:rPr>
          <w:rFonts w:ascii="Courier New" w:hAnsi="Courier New" w:cs="Courier New"/>
          <w:lang w:val="en-GB"/>
        </w:rPr>
        <w:t>Opti.</w:t>
      </w:r>
      <w:proofErr w:type="gramStart"/>
      <w:r>
        <w:rPr>
          <w:rFonts w:ascii="Courier New" w:hAnsi="Courier New" w:cs="Courier New"/>
          <w:lang w:val="en-GB"/>
        </w:rPr>
        <w:t>traits</w:t>
      </w:r>
      <w:proofErr w:type="gramEnd"/>
      <w:r>
        <w:rPr>
          <w:lang w:val="en-GB"/>
        </w:rPr>
        <w:t xml:space="preserve"> function</w:t>
      </w:r>
      <w:bookmarkEnd w:id="6"/>
    </w:p>
    <w:p w14:paraId="78ED7912" w14:textId="77777777" w:rsidR="001C5262" w:rsidRPr="00920F3A" w:rsidRDefault="009D6A65">
      <w:pPr>
        <w:spacing w:line="480" w:lineRule="auto"/>
        <w:rPr>
          <w:lang w:val="en-GB"/>
        </w:rPr>
      </w:pPr>
      <w:r>
        <w:rPr>
          <w:lang w:val="en-GB"/>
        </w:rPr>
        <w:t xml:space="preserve">We will firstly go through the </w:t>
      </w:r>
      <w:proofErr w:type="gramStart"/>
      <w:r>
        <w:rPr>
          <w:rFonts w:ascii="Courier New" w:hAnsi="Courier New" w:cs="Courier New"/>
          <w:lang w:val="en-GB"/>
        </w:rPr>
        <w:t>opti.traits</w:t>
      </w:r>
      <w:proofErr w:type="gramEnd"/>
      <w:r>
        <w:rPr>
          <w:lang w:val="en-GB"/>
        </w:rPr>
        <w:t xml:space="preserve"> method.</w:t>
      </w:r>
    </w:p>
    <w:p w14:paraId="494A8F2A" w14:textId="77777777" w:rsidR="001C5262" w:rsidRDefault="009D6A65">
      <w:pPr>
        <w:spacing w:line="480" w:lineRule="auto"/>
        <w:rPr>
          <w:lang w:val="en-GB"/>
        </w:rPr>
      </w:pPr>
      <w:r>
        <w:rPr>
          <w:lang w:val="en-GB"/>
        </w:rPr>
        <w:t>The first step is to create a traits table. The size of each species present in the collections was collected. As the code needs qualitative and discrete characteristics in the traits table, we used two discrete criteria for the size. We coded species under 40 cm as “ok”, and species above 40 cm as “</w:t>
      </w:r>
      <w:proofErr w:type="spellStart"/>
      <w:r>
        <w:rPr>
          <w:lang w:val="en-GB"/>
        </w:rPr>
        <w:t>not_ok</w:t>
      </w:r>
      <w:proofErr w:type="spellEnd"/>
      <w:r>
        <w:rPr>
          <w:lang w:val="en-GB"/>
        </w:rPr>
        <w:t xml:space="preserve">” (SM3.c). </w:t>
      </w:r>
    </w:p>
    <w:p w14:paraId="4C632030" w14:textId="77777777" w:rsidR="001C5262" w:rsidRDefault="009D6A65">
      <w:pPr>
        <w:spacing w:line="480" w:lineRule="auto"/>
        <w:rPr>
          <w:lang w:val="en-GB"/>
        </w:rPr>
      </w:pPr>
      <w:r>
        <w:rPr>
          <w:lang w:val="en-GB"/>
        </w:rPr>
        <w:t>The second step is to set the proportions of species to reach in each traits’ characteristics. As we want the sample to have only species under 40 cm, we set the proportions as 1 for “ok” species and 0 for “</w:t>
      </w:r>
      <w:proofErr w:type="spellStart"/>
      <w:r>
        <w:rPr>
          <w:lang w:val="en-GB"/>
        </w:rPr>
        <w:t>not_ok</w:t>
      </w:r>
      <w:proofErr w:type="spellEnd"/>
      <w:r>
        <w:rPr>
          <w:lang w:val="en-GB"/>
        </w:rPr>
        <w:t xml:space="preserve">” species. Next, we have to choose a weight for the trait. As there is only one trait to be optimised here, i.e., the size, we set its weight as 1. </w:t>
      </w:r>
    </w:p>
    <w:p w14:paraId="11D6BACA" w14:textId="77777777" w:rsidR="001C5262" w:rsidRPr="00920F3A" w:rsidRDefault="009D6A65">
      <w:pPr>
        <w:spacing w:line="480" w:lineRule="auto"/>
        <w:rPr>
          <w:lang w:val="en-GB"/>
        </w:rPr>
      </w:pPr>
      <w:r>
        <w:rPr>
          <w:lang w:val="en-GB"/>
        </w:rPr>
        <w:t>The third step is to identify if there are key species to add to the sample. This is a list of species that will be automatically included in the sample, and the code will optimise the adding of new taxa according to the one that are in this list. In our case, the team have already scanned 65 species that don’t need to be scanned again. We put them in the “</w:t>
      </w:r>
      <w:proofErr w:type="spellStart"/>
      <w:r>
        <w:rPr>
          <w:rFonts w:ascii="Courier New" w:hAnsi="Courier New" w:cs="Courier New"/>
          <w:lang w:val="en-GB"/>
        </w:rPr>
        <w:t>keyspe</w:t>
      </w:r>
      <w:proofErr w:type="spellEnd"/>
      <w:r>
        <w:rPr>
          <w:lang w:val="en-GB"/>
        </w:rPr>
        <w:t xml:space="preserve">” option of the function so that the sample will be created around them. We also put in the list 7 other priority species that are important to include in the sample. Because we add these 72 species in the </w:t>
      </w:r>
      <w:proofErr w:type="spellStart"/>
      <w:r>
        <w:rPr>
          <w:lang w:val="en-GB"/>
        </w:rPr>
        <w:t>keyspe</w:t>
      </w:r>
      <w:proofErr w:type="spellEnd"/>
      <w:r>
        <w:rPr>
          <w:lang w:val="en-GB"/>
        </w:rPr>
        <w:t xml:space="preserve"> list, we will ask the function to create a sample containing 172 species (100+65+7).</w:t>
      </w:r>
    </w:p>
    <w:p w14:paraId="75C899B1" w14:textId="77777777" w:rsidR="001C5262" w:rsidRPr="00920F3A" w:rsidRDefault="009D6A65">
      <w:pPr>
        <w:spacing w:line="480" w:lineRule="auto"/>
        <w:rPr>
          <w:lang w:val="en-GB"/>
        </w:rPr>
      </w:pPr>
      <w:r>
        <w:rPr>
          <w:lang w:val="en-GB"/>
        </w:rPr>
        <w:lastRenderedPageBreak/>
        <w:t xml:space="preserve">The next step is to weight the phylogeny relatively to the ecology, with the parameter delta. This parameter is comprised between 0 and 1. When δ=0, only the phylogeny is taken into account, which gives an identical result as the </w:t>
      </w:r>
      <w:r>
        <w:rPr>
          <w:rFonts w:ascii="Courier New" w:hAnsi="Courier New" w:cs="Courier New"/>
          <w:lang w:val="en-GB"/>
        </w:rPr>
        <w:t>bestsample</w:t>
      </w:r>
      <w:r>
        <w:rPr>
          <w:lang w:val="en-GB"/>
        </w:rPr>
        <w:t xml:space="preserve"> function. When δ=1, only the ecology is taken into account, which means that the phylogeny is not optimised. In our case, the sample has to be representative of the phylogeny, but also have to reach the proportions we asked. For these reasons, we set δ=0.5, so that the sample will be optimised along both the phylogeny and the size. </w:t>
      </w:r>
    </w:p>
    <w:p w14:paraId="2BBD11FD" w14:textId="77777777" w:rsidR="001C5262" w:rsidRPr="00920F3A" w:rsidRDefault="009D6A65">
      <w:pPr>
        <w:spacing w:line="480" w:lineRule="auto"/>
        <w:rPr>
          <w:lang w:val="en-GB"/>
        </w:rPr>
      </w:pPr>
      <w:r>
        <w:rPr>
          <w:lang w:val="en-GB"/>
        </w:rPr>
        <w:t xml:space="preserve">The final step is to know if there is a restriction on taxa availability. The sample we are creating needs to be representative of the phylogeny of all birds, but it can only contain species that are present in the collections. We added the list of species present in the collections, so that the function will build the sample taking the taxa from this list only. Before doing so, we modified the unmatching names thanks to the </w:t>
      </w:r>
      <w:proofErr w:type="spellStart"/>
      <w:r>
        <w:rPr>
          <w:lang w:val="en-GB"/>
        </w:rPr>
        <w:t>Avibase</w:t>
      </w:r>
      <w:proofErr w:type="spellEnd"/>
      <w:r>
        <w:rPr>
          <w:lang w:val="en-GB"/>
        </w:rPr>
        <w:t xml:space="preserve"> database </w:t>
      </w:r>
      <w:r w:rsidR="001C5262">
        <w:fldChar w:fldCharType="begin"/>
      </w:r>
      <w:r w:rsidRPr="00920F3A">
        <w:rPr>
          <w:lang w:val="en-GB"/>
        </w:rPr>
        <w:instrText>ADDIN ZOTERO_ITEM CSL_CITATION {"citationID":"zcg1sjEv","properties":{"formattedCitation":"(Lepage et al., 2014)","plainCitation":"(Lepage et al., 2014)","noteIndex":0},"citationItems":[{"id":762,"uris":["http://zotero.org/users/10180846/items/V8C9CFDT"],"itemData":{"id":762,"type":"article-journal","abstract":"Scientific names of biological entities offer an imperfect resolution of the concepts that they are intended to represent. Often they are labels applied to entities ranging from entire populations to individual specimens representing those populations, even though such names only unambiguously identify the type specimen to which they were originally attached. Thus the real-life referents of names are constantly changing as biological circumscriptions are redefined and thereby alter the sets of individuals bearing those names. This problem is compounded by other characteristics of names that make them ambiguous identifiers of biological concepts, including emendations, homonymy and synonymy. Taxonomic concepts have been proposed as a way to address issues related to scientific names, but they have yet to receive broad recognition or implementation. Some efforts have been made towards building systems that address these issues by cataloguing and organizing taxonomic concepts, but most are still in conceptual or proof-of-concept stage. We present the on-line database Avibase as one possible approach to organizing taxonomic concepts. Avibase has been successfully used to describe and organize 844,000 species-level and 705,000 subspecies-level taxonomic concepts across every major bird taxonomic checklist of the last 125 years. The use of taxonomic concepts in place of scientific names, coupled with efficient resolution services, is a major step toward addressing some of the main deficiencies in the current practices of scientific name dissemination and use.","container-title":"ZooKeys","DOI":"10.3897/zookeys.420.7089","ISSN":"1313-2989","issue":"420","journalAbbreviation":"Zookeys","note":"PMID: 25061375\nPMCID: PMC4109484","page":"117-135","source":"PubMed Central","title":"Avibase – a database system for managing and organizing taxonomic concepts","author":[{"family":"Lepage","given":"Denis"},{"family":"Vaidya","given":"Gaurav"},{"family":"Guralnick","given":"Robert"}],"issued":{"date-parts":[["2014",6,25]]},"citation-key":"lepageAvibaseDatabaseSystem2014"}}],"schema":"https://github.com/citation-style-language/schema/raw/master/csl-citation.json"}</w:instrText>
      </w:r>
      <w:r w:rsidR="001C5262">
        <w:fldChar w:fldCharType="separate"/>
      </w:r>
      <w:r>
        <w:rPr>
          <w:rFonts w:cs="Calibri"/>
          <w:lang w:val="en-GB"/>
        </w:rPr>
        <w:t>(Lepage et al., 2014)</w:t>
      </w:r>
      <w:r w:rsidR="001C5262">
        <w:fldChar w:fldCharType="end"/>
      </w:r>
      <w:r>
        <w:rPr>
          <w:lang w:val="en-GB"/>
        </w:rPr>
        <w:t xml:space="preserve">. </w:t>
      </w:r>
    </w:p>
    <w:p w14:paraId="0F67E5F6" w14:textId="77777777" w:rsidR="001C5262" w:rsidRDefault="009D6A65">
      <w:pPr>
        <w:spacing w:line="480" w:lineRule="auto"/>
        <w:rPr>
          <w:lang w:val="en-GB"/>
        </w:rPr>
      </w:pPr>
      <w:r>
        <w:rPr>
          <w:lang w:val="en-GB"/>
        </w:rPr>
        <w:t>To avoid the use of this restricted list, we could have run the code based on the phylogeny of the species in collections instead of the phylogeny of all birds. However, the collections are not themselves representative of the phylogeny of the group. By asking the sample to be created relatively to bird’s phylogeny, we avoid an accumulation of bias.</w:t>
      </w:r>
    </w:p>
    <w:p w14:paraId="1FEDDA0C" w14:textId="51E8A1B1" w:rsidR="001C5262" w:rsidRPr="00920F3A" w:rsidRDefault="009D6A65">
      <w:pPr>
        <w:spacing w:line="480" w:lineRule="auto"/>
        <w:rPr>
          <w:lang w:val="en-GB"/>
        </w:rPr>
      </w:pPr>
      <w:r>
        <w:rPr>
          <w:lang w:val="en-GB"/>
        </w:rPr>
        <w:t xml:space="preserve">The function was run, and we obtained a sample composed of 172 species, as requested. It represents 6.23% of the phylogeny of all birds </w:t>
      </w:r>
      <w:r>
        <w:rPr>
          <w:color w:val="F07F09"/>
          <w:lang w:val="en-GB"/>
        </w:rPr>
        <w:t xml:space="preserve">(Fig. </w:t>
      </w:r>
      <w:r w:rsidR="00920F3A">
        <w:rPr>
          <w:color w:val="F07F09"/>
          <w:lang w:val="en-GB"/>
        </w:rPr>
        <w:t>6</w:t>
      </w:r>
      <w:r>
        <w:rPr>
          <w:color w:val="F07F09"/>
          <w:lang w:val="en-GB"/>
        </w:rPr>
        <w:t>)</w:t>
      </w:r>
      <w:r>
        <w:rPr>
          <w:lang w:val="en-GB"/>
        </w:rPr>
        <w:t xml:space="preserve">. </w:t>
      </w:r>
    </w:p>
    <w:p w14:paraId="02D2C35F" w14:textId="77777777" w:rsidR="001C5262" w:rsidRDefault="009D6A65">
      <w:pPr>
        <w:spacing w:line="480" w:lineRule="auto"/>
        <w:rPr>
          <w:lang w:val="en-GB"/>
        </w:rPr>
      </w:pPr>
      <w:r>
        <w:rPr>
          <w:lang w:val="en-GB"/>
        </w:rPr>
        <w:t>The next step is to check the relevance of the sample for what is needed. Firstly, we check if the proportions reached are consistent with the proportions requested.  Doing so, we see that the sample is composed of some species above the limit of 40cm. When looking more precisely, we see that the species concerned are part of the “key species” list. The function didn’t choose them, but we did. The sample that was created, i.e., the 100 species chosen by the algorithm, is consistent with what was asked.</w:t>
      </w:r>
    </w:p>
    <w:p w14:paraId="6A9DD226" w14:textId="4105700B" w:rsidR="001C5262" w:rsidRPr="00920F3A" w:rsidRDefault="009D6A65">
      <w:pPr>
        <w:spacing w:line="480" w:lineRule="auto"/>
        <w:rPr>
          <w:lang w:val="en-GB"/>
        </w:rPr>
      </w:pPr>
      <w:r>
        <w:rPr>
          <w:lang w:val="en-GB"/>
        </w:rPr>
        <w:lastRenderedPageBreak/>
        <w:t>When the sample is plotted on the phylogeny of the master</w:t>
      </w:r>
      <w:r w:rsidR="000A446E">
        <w:rPr>
          <w:lang w:val="en-GB"/>
        </w:rPr>
        <w:t>-group,</w:t>
      </w:r>
      <w:r>
        <w:rPr>
          <w:lang w:val="en-GB"/>
        </w:rPr>
        <w:t xml:space="preserve"> the size of the phylogeny (more than 11,000 species) </w:t>
      </w:r>
      <w:proofErr w:type="gramStart"/>
      <w:r>
        <w:rPr>
          <w:lang w:val="en-GB"/>
        </w:rPr>
        <w:t>avoid</w:t>
      </w:r>
      <w:proofErr w:type="gramEnd"/>
      <w:r>
        <w:rPr>
          <w:lang w:val="en-GB"/>
        </w:rPr>
        <w:t xml:space="preserve"> any accurate evaluation of the sample’s distribution. To have the assurance that the sample is indeed representative of the phylogeny of birds, we apply the </w:t>
      </w:r>
      <w:r>
        <w:rPr>
          <w:i/>
          <w:iCs/>
          <w:lang w:val="en-GB"/>
        </w:rPr>
        <w:t>a posteriori</w:t>
      </w:r>
      <w:r>
        <w:rPr>
          <w:lang w:val="en-GB"/>
        </w:rPr>
        <w:t xml:space="preserve"> process on the created sample. To do so, we use the </w:t>
      </w:r>
      <w:r>
        <w:rPr>
          <w:rFonts w:ascii="Courier New" w:hAnsi="Courier New" w:cs="Courier New"/>
          <w:lang w:val="en-GB"/>
        </w:rPr>
        <w:t>compost</w:t>
      </w:r>
      <w:r>
        <w:rPr>
          <w:lang w:val="en-GB"/>
        </w:rPr>
        <w:t xml:space="preserve"> function. We set a restricted availability of species to the species present in the collections and measuring less than 40 cm, and we run the code with 10,000 random samples. We find that the created sample has a </w:t>
      </w:r>
      <w:proofErr w:type="spellStart"/>
      <w:r>
        <w:rPr>
          <w:lang w:val="en-GB"/>
        </w:rPr>
        <w:t>PD</w:t>
      </w:r>
      <w:r>
        <w:rPr>
          <w:vertAlign w:val="subscript"/>
          <w:lang w:val="en-GB"/>
        </w:rPr>
        <w:t>Faith</w:t>
      </w:r>
      <w:proofErr w:type="spellEnd"/>
      <w:r>
        <w:rPr>
          <w:lang w:val="en-GB"/>
        </w:rPr>
        <w:t xml:space="preserve"> that is significantly higher than the mean. We have the confirmation that the created sample is indeed representative of the phylogeny of birds, taking into consideration the double limitation of available data (size and collections) </w:t>
      </w:r>
      <w:r>
        <w:rPr>
          <w:color w:val="F07F09"/>
          <w:lang w:val="en-GB"/>
        </w:rPr>
        <w:t xml:space="preserve">(Fig. </w:t>
      </w:r>
      <w:r w:rsidR="00920F3A">
        <w:rPr>
          <w:color w:val="F07F09"/>
          <w:lang w:val="en-GB"/>
        </w:rPr>
        <w:t>6</w:t>
      </w:r>
      <w:r>
        <w:rPr>
          <w:color w:val="F07F09"/>
          <w:lang w:val="en-GB"/>
        </w:rPr>
        <w:t>)</w:t>
      </w:r>
      <w:r>
        <w:rPr>
          <w:lang w:val="en-GB"/>
        </w:rPr>
        <w:t>.</w:t>
      </w:r>
    </w:p>
    <w:p w14:paraId="4393F651" w14:textId="77777777" w:rsidR="001C5262" w:rsidRPr="00920F3A" w:rsidRDefault="009D6A65">
      <w:pPr>
        <w:pStyle w:val="Titre41"/>
        <w:spacing w:line="480" w:lineRule="auto"/>
        <w:rPr>
          <w:lang w:val="en-GB"/>
        </w:rPr>
      </w:pPr>
      <w:bookmarkStart w:id="7" w:name="_Toc204705003"/>
      <w:r>
        <w:rPr>
          <w:rFonts w:ascii="Courier New" w:hAnsi="Courier New" w:cs="Courier New"/>
          <w:lang w:val="en-GB"/>
        </w:rPr>
        <w:t>Bestsample</w:t>
      </w:r>
      <w:r>
        <w:rPr>
          <w:lang w:val="en-GB"/>
        </w:rPr>
        <w:t xml:space="preserve"> function</w:t>
      </w:r>
      <w:bookmarkEnd w:id="7"/>
    </w:p>
    <w:p w14:paraId="1E5D4B3C" w14:textId="77777777" w:rsidR="001C5262" w:rsidRPr="00920F3A" w:rsidRDefault="009D6A65">
      <w:pPr>
        <w:spacing w:line="480" w:lineRule="auto"/>
        <w:rPr>
          <w:lang w:val="en-GB"/>
        </w:rPr>
      </w:pPr>
      <w:r>
        <w:rPr>
          <w:lang w:val="en-GB"/>
        </w:rPr>
        <w:t xml:space="preserve">The other possibility is to use </w:t>
      </w:r>
      <w:r>
        <w:rPr>
          <w:rFonts w:ascii="Courier New" w:hAnsi="Courier New" w:cs="Courier New"/>
          <w:lang w:val="en-GB"/>
        </w:rPr>
        <w:t>bestsample</w:t>
      </w:r>
      <w:r>
        <w:rPr>
          <w:lang w:val="en-GB"/>
        </w:rPr>
        <w:t xml:space="preserve"> function, with a list of available data directly containing the collection’s species measuring less than 40 cm. </w:t>
      </w:r>
    </w:p>
    <w:p w14:paraId="7C1BED0C" w14:textId="77777777" w:rsidR="001C5262" w:rsidRPr="00920F3A" w:rsidRDefault="009D6A65">
      <w:pPr>
        <w:spacing w:line="480" w:lineRule="auto"/>
        <w:rPr>
          <w:lang w:val="en-GB"/>
        </w:rPr>
      </w:pPr>
      <w:r>
        <w:rPr>
          <w:lang w:val="en-GB"/>
        </w:rPr>
        <w:t xml:space="preserve">The first step is to </w:t>
      </w:r>
      <w:proofErr w:type="spellStart"/>
      <w:r>
        <w:rPr>
          <w:lang w:val="en-GB"/>
        </w:rPr>
        <w:t>chose</w:t>
      </w:r>
      <w:proofErr w:type="spellEnd"/>
      <w:r>
        <w:rPr>
          <w:lang w:val="en-GB"/>
        </w:rPr>
        <w:t xml:space="preserve"> the taxa to start the iteration. As explained above, there are 72 key species to be included in the sample. This list is therefore used as the starting point so that the code optimises the creation of the sample around them. For the same reasons as before, the phylogenetic tree used for the </w:t>
      </w:r>
      <w:proofErr w:type="spellStart"/>
      <w:r>
        <w:rPr>
          <w:lang w:val="en-GB"/>
        </w:rPr>
        <w:t>PD</w:t>
      </w:r>
      <w:r>
        <w:rPr>
          <w:vertAlign w:val="subscript"/>
          <w:lang w:val="en-GB"/>
        </w:rPr>
        <w:t>Faith</w:t>
      </w:r>
      <w:proofErr w:type="spellEnd"/>
      <w:r>
        <w:rPr>
          <w:lang w:val="en-GB"/>
        </w:rPr>
        <w:t xml:space="preserve"> calculation is the phylogeny of all birds </w:t>
      </w:r>
      <w:r w:rsidR="001C5262">
        <w:fldChar w:fldCharType="begin"/>
      </w:r>
      <w:r w:rsidRPr="00920F3A">
        <w:rPr>
          <w:lang w:val="en-GB"/>
        </w:rPr>
        <w:instrText>ADDIN ZOTERO_ITEM CSL_CITATION {"citationID":"n105kdJL","properties":{"formattedCitation":"(McTavish et al., 2024)","plainCitation":"(McTavish et al., 2024)","noteIndex":0},"citationItems":[{"id":679,"uris":["http://zotero.org/users/10180846/items/82DJKNZS"],"itemData":{"id":679,"type":"article","abstract":"Abstract\n          We present a complete, time-scaled, evolutionary tree of the world’s bird species. This tree unites phylogenetic estimates for 9,239 species from 262 studies published between 1990 and 2024, using the Open Tree synthesis algorithm. The remaining species are placed in the tree based on curated taxonomic information. The tips of this complete tree are aligned to the species in the Clements Taxonomy used by eBird and other resources, and cross-mapped to other taxonomic systems including the Open Tree of Life (Open Tree), National Center for Biotechnology Information (NCBI), and Global Biodiversity Information Facility (GBIF). The total number of named bird species varies between 10,824 and 11,017 across the taxonomy versions we applied (v2021, v2022 and v2023). We share complete trees for each taxonomy version. The procedure, software and data-stores we used to generate this tree are public and reproducible. The tree presented here is Aves v1.2 and can be easily updated with new phylogenetic information as new estimates are published. We demonstrate the types of large scale analyses this data resource enables by linking geographic data with the phylogeny to calculate the regional phylogenetic diversity of birds across the world. We will release updated versions of the phylogenetic synthesis and taxonomic translation tables annually. The procedure we describe here can be applied to developing complete phylogenetic estimates for any taxonomic group of interest.\n          \n            Significance statement\n            Birds are charismatic - well loved, and highly studied. Many new phylogenies elucidating avian birds evolutionary relationships are published every year. We have united phylogenetic estimates from hundreds of studies to create a complete evolutionary tree of all birds. While a variety of resources aggregate huge collections of trait, behavior and location data for birds, previously the barriers to linking data between these data resources and bird evolutionary history have limited the opportunities to do exciting large scale analyses. We have bridged that gap, and developed a system that allows us to easily update our understanding of bird evolution as new estimates are generated. We share a workflow and the software needed to create a complete evolutionary tree for any group.","DOI":"10.1101/2024.05.20.595017","language":"en","publisher":"Evolutionary Biology","source":"DOI.org (Crossref)","title":"A complete and dynamic tree of birds","URL":"http://biorxiv.org/lookup/doi/10.1101/2024.05.20.595017","author":[{"family":"McTavish","given":"Emily Jane"},{"family":"Gerbracht","given":"Jeff A."},{"family":"Holder","given":"Mark T."},{"family":"Iliff","given":"Marshall J."},{"family":"Lepage","given":"Denis"},{"family":"Rasmussen","given":"Pam"},{"family":"Redelings","given":"Benjamin"},{"family":"Sanchez Reyes","given":"Luna Luisa"},{"family":"Miller","given":"Eliot T."}],"accessed":{"date-parts":[["2025",6,11]]},"issued":{"date-parts":[["2024",5,22]]},"citation-key":"mctavishCompleteDynamicTree2024"}}],"schema":"https://github.com/citation-style-language/schema/raw/master/csl-citation.json"}</w:instrText>
      </w:r>
      <w:r w:rsidR="001C5262">
        <w:fldChar w:fldCharType="separate"/>
      </w:r>
      <w:r w:rsidRPr="00920F3A">
        <w:rPr>
          <w:rFonts w:cs="Calibri"/>
          <w:lang w:val="en-GB"/>
        </w:rPr>
        <w:t>(McTavish et al., 2024)</w:t>
      </w:r>
      <w:r w:rsidR="001C5262">
        <w:fldChar w:fldCharType="end"/>
      </w:r>
      <w:r>
        <w:rPr>
          <w:lang w:val="en-GB"/>
        </w:rPr>
        <w:t xml:space="preserve"> (version 1.4).</w:t>
      </w:r>
    </w:p>
    <w:p w14:paraId="5661E4A9" w14:textId="77777777" w:rsidR="001C5262" w:rsidRPr="00920F3A" w:rsidRDefault="009D6A65">
      <w:pPr>
        <w:spacing w:line="480" w:lineRule="auto"/>
        <w:rPr>
          <w:lang w:val="en-GB"/>
        </w:rPr>
      </w:pPr>
      <w:r>
        <w:rPr>
          <w:lang w:val="en-GB"/>
        </w:rPr>
        <w:t xml:space="preserve">The second step is to set the number of taxa to reach. As for the </w:t>
      </w:r>
      <w:proofErr w:type="gramStart"/>
      <w:r>
        <w:rPr>
          <w:rFonts w:ascii="Courier New" w:hAnsi="Courier New" w:cs="Courier New"/>
          <w:lang w:val="en-GB"/>
        </w:rPr>
        <w:t>opti.traits</w:t>
      </w:r>
      <w:proofErr w:type="gramEnd"/>
      <w:r>
        <w:rPr>
          <w:lang w:val="en-GB"/>
        </w:rPr>
        <w:t xml:space="preserve"> method, we ask the sample to reach a number of 172 species. </w:t>
      </w:r>
    </w:p>
    <w:p w14:paraId="048E189D" w14:textId="77777777" w:rsidR="001C5262" w:rsidRPr="00920F3A" w:rsidRDefault="009D6A65">
      <w:pPr>
        <w:spacing w:line="480" w:lineRule="auto"/>
        <w:rPr>
          <w:lang w:val="en-GB"/>
        </w:rPr>
      </w:pPr>
      <w:r>
        <w:rPr>
          <w:lang w:val="en-GB"/>
        </w:rPr>
        <w:t xml:space="preserve">The third step is to know if there is a restriction on taxa availability. As for the </w:t>
      </w:r>
      <w:proofErr w:type="gramStart"/>
      <w:r>
        <w:rPr>
          <w:rFonts w:ascii="Courier New" w:hAnsi="Courier New" w:cs="Courier New"/>
          <w:lang w:val="en-GB"/>
        </w:rPr>
        <w:t>opti.traits</w:t>
      </w:r>
      <w:proofErr w:type="gramEnd"/>
      <w:r>
        <w:rPr>
          <w:lang w:val="en-GB"/>
        </w:rPr>
        <w:t xml:space="preserve"> function, the list of species present in the collection is given to limit the taxa that can be taken to build the sample. </w:t>
      </w:r>
    </w:p>
    <w:p w14:paraId="5A53041E" w14:textId="12E8195D" w:rsidR="001C5262" w:rsidRPr="00920F3A" w:rsidRDefault="009D6A65">
      <w:pPr>
        <w:spacing w:line="480" w:lineRule="auto"/>
        <w:rPr>
          <w:lang w:val="en-GB"/>
        </w:rPr>
      </w:pPr>
      <w:r>
        <w:rPr>
          <w:lang w:val="en-GB"/>
        </w:rPr>
        <w:t xml:space="preserve">The function is run, and we obtain a sample composed of 172 species. The created sample is very similar to the one created with the </w:t>
      </w:r>
      <w:r>
        <w:rPr>
          <w:rFonts w:ascii="Courier New" w:hAnsi="Courier New" w:cs="Courier New"/>
          <w:lang w:val="en-GB"/>
        </w:rPr>
        <w:t>opti.traits</w:t>
      </w:r>
      <w:r>
        <w:rPr>
          <w:lang w:val="en-GB"/>
        </w:rPr>
        <w:t xml:space="preserve"> function. Some taxa were different, but the </w:t>
      </w:r>
      <w:proofErr w:type="spellStart"/>
      <w:r>
        <w:rPr>
          <w:lang w:val="en-GB"/>
        </w:rPr>
        <w:t>PD</w:t>
      </w:r>
      <w:r>
        <w:rPr>
          <w:vertAlign w:val="subscript"/>
          <w:lang w:val="en-GB"/>
        </w:rPr>
        <w:t>Faith</w:t>
      </w:r>
      <w:proofErr w:type="spellEnd"/>
      <w:r>
        <w:rPr>
          <w:lang w:val="en-GB"/>
        </w:rPr>
        <w:t xml:space="preserve"> and PPR reached were the same </w:t>
      </w:r>
      <w:r>
        <w:rPr>
          <w:color w:val="F07F09"/>
          <w:lang w:val="en-GB"/>
        </w:rPr>
        <w:t xml:space="preserve">(Fig. </w:t>
      </w:r>
      <w:r w:rsidR="00920F3A">
        <w:rPr>
          <w:color w:val="F07F09"/>
          <w:lang w:val="en-GB"/>
        </w:rPr>
        <w:t>6</w:t>
      </w:r>
      <w:r>
        <w:rPr>
          <w:color w:val="F07F09"/>
          <w:lang w:val="en-GB"/>
        </w:rPr>
        <w:t>)</w:t>
      </w:r>
      <w:r>
        <w:rPr>
          <w:lang w:val="en-GB"/>
        </w:rPr>
        <w:t xml:space="preserve">. </w:t>
      </w:r>
    </w:p>
    <w:p w14:paraId="3DD1DEDF" w14:textId="77777777" w:rsidR="001C5262" w:rsidRPr="00920F3A" w:rsidRDefault="009D6A65">
      <w:pPr>
        <w:spacing w:line="480" w:lineRule="auto"/>
        <w:rPr>
          <w:lang w:val="en-GB"/>
        </w:rPr>
      </w:pPr>
      <w:r>
        <w:rPr>
          <w:lang w:val="en-GB"/>
        </w:rPr>
        <w:lastRenderedPageBreak/>
        <w:t xml:space="preserve">We then check if the sample is consistent with what we requested. As before, we see that some species were above the limit of 40 cm, but they are the same as for the </w:t>
      </w:r>
      <w:proofErr w:type="gramStart"/>
      <w:r>
        <w:rPr>
          <w:rFonts w:ascii="Courier New" w:hAnsi="Courier New" w:cs="Courier New"/>
          <w:lang w:val="en-GB"/>
        </w:rPr>
        <w:t>opti.traits</w:t>
      </w:r>
      <w:proofErr w:type="gramEnd"/>
      <w:r>
        <w:rPr>
          <w:lang w:val="en-GB"/>
        </w:rPr>
        <w:t xml:space="preserve"> result, and they concern the key species list. </w:t>
      </w:r>
    </w:p>
    <w:p w14:paraId="375FE109" w14:textId="7A602568" w:rsidR="001C5262" w:rsidRPr="00920F3A" w:rsidRDefault="009D6A65">
      <w:pPr>
        <w:spacing w:line="480" w:lineRule="auto"/>
        <w:rPr>
          <w:lang w:val="en-GB"/>
        </w:rPr>
      </w:pPr>
      <w:r>
        <w:rPr>
          <w:lang w:val="en-GB"/>
        </w:rPr>
        <w:t xml:space="preserve">Finally, we test the phylogenetic relevance of the sample with the a posteriori process. We run the function </w:t>
      </w:r>
      <w:r>
        <w:rPr>
          <w:rFonts w:ascii="Courier New" w:hAnsi="Courier New" w:cs="Courier New"/>
          <w:lang w:val="en-GB"/>
        </w:rPr>
        <w:t>compost</w:t>
      </w:r>
      <w:r>
        <w:rPr>
          <w:lang w:val="en-GB"/>
        </w:rPr>
        <w:t xml:space="preserve"> with a set of 10,000 random samples, and a list of available taxa limited to the species in collection that are below 40 cm. We find that the sample has a </w:t>
      </w:r>
      <w:proofErr w:type="spellStart"/>
      <w:r>
        <w:rPr>
          <w:lang w:val="en-GB"/>
        </w:rPr>
        <w:t>PD</w:t>
      </w:r>
      <w:r>
        <w:rPr>
          <w:vertAlign w:val="subscript"/>
          <w:lang w:val="en-GB"/>
        </w:rPr>
        <w:t>Faith</w:t>
      </w:r>
      <w:proofErr w:type="spellEnd"/>
      <w:r>
        <w:rPr>
          <w:lang w:val="en-GB"/>
        </w:rPr>
        <w:t xml:space="preserve"> that is significantly higher than the mean, meaning that it is representative of the phylogeny </w:t>
      </w:r>
      <w:r>
        <w:rPr>
          <w:color w:val="F07F09"/>
          <w:lang w:val="en-GB"/>
        </w:rPr>
        <w:t xml:space="preserve">(Fig. </w:t>
      </w:r>
      <w:r w:rsidR="00920F3A">
        <w:rPr>
          <w:color w:val="F07F09"/>
          <w:lang w:val="en-GB"/>
        </w:rPr>
        <w:t>6</w:t>
      </w:r>
      <w:r>
        <w:rPr>
          <w:color w:val="F07F09"/>
          <w:lang w:val="en-GB"/>
        </w:rPr>
        <w:t>)</w:t>
      </w:r>
      <w:r>
        <w:rPr>
          <w:lang w:val="en-GB"/>
        </w:rPr>
        <w:t>.</w:t>
      </w:r>
    </w:p>
    <w:p w14:paraId="7448EFCE" w14:textId="77777777" w:rsidR="001C5262" w:rsidRDefault="009D6A65">
      <w:pPr>
        <w:pStyle w:val="Titre41"/>
        <w:spacing w:line="480" w:lineRule="auto"/>
        <w:rPr>
          <w:lang w:val="en-GB"/>
        </w:rPr>
      </w:pPr>
      <w:bookmarkStart w:id="8" w:name="_Toc204705004"/>
      <w:r>
        <w:rPr>
          <w:lang w:val="en-GB"/>
        </w:rPr>
        <w:t>Conclusion</w:t>
      </w:r>
      <w:bookmarkEnd w:id="8"/>
    </w:p>
    <w:p w14:paraId="2D24B45D" w14:textId="77777777" w:rsidR="001C5262" w:rsidRPr="00920F3A" w:rsidRDefault="009D6A65">
      <w:pPr>
        <w:spacing w:line="480" w:lineRule="auto"/>
        <w:rPr>
          <w:lang w:val="en-GB"/>
        </w:rPr>
      </w:pPr>
      <w:r>
        <w:rPr>
          <w:lang w:val="en-GB"/>
        </w:rPr>
        <w:t xml:space="preserve">In the context of the digitization of fluid collections of birds, the e-COL+ team asked for a list of 100 species, representative of the phylogeny of birds, and with a limit of size below 40cm. Two ways were tested to create the sample. The </w:t>
      </w:r>
      <w:r>
        <w:rPr>
          <w:rFonts w:ascii="Courier New" w:hAnsi="Courier New" w:cs="Courier New"/>
          <w:lang w:val="en-GB"/>
        </w:rPr>
        <w:t>opti.traits</w:t>
      </w:r>
      <w:r>
        <w:rPr>
          <w:lang w:val="en-GB"/>
        </w:rPr>
        <w:t xml:space="preserve"> function created a sample that was optimised according to the size characteristics. The </w:t>
      </w:r>
      <w:r>
        <w:rPr>
          <w:rFonts w:ascii="Courier New" w:hAnsi="Courier New" w:cs="Courier New"/>
          <w:lang w:val="en-GB"/>
        </w:rPr>
        <w:t>bestsample</w:t>
      </w:r>
      <w:r>
        <w:rPr>
          <w:lang w:val="en-GB"/>
        </w:rPr>
        <w:t xml:space="preserve"> function created a sample from a list of available taxa limited to species below 40cm. Both methods gave a similar result, that was representative of bird’s phylogeny. </w:t>
      </w:r>
    </w:p>
    <w:p w14:paraId="74281771" w14:textId="77777777" w:rsidR="001C5262" w:rsidRDefault="009D6A65">
      <w:pPr>
        <w:suppressAutoHyphens w:val="0"/>
        <w:spacing w:after="160" w:line="480" w:lineRule="auto"/>
        <w:rPr>
          <w:lang w:val="en-GB"/>
        </w:rPr>
      </w:pPr>
      <w:r w:rsidRPr="00920F3A">
        <w:rPr>
          <w:lang w:val="en-GB"/>
        </w:rPr>
        <w:br w:type="page"/>
      </w:r>
    </w:p>
    <w:p w14:paraId="41184B14" w14:textId="77777777" w:rsidR="001C5262" w:rsidRDefault="009D6A65">
      <w:pPr>
        <w:pStyle w:val="Titre11"/>
        <w:spacing w:line="480" w:lineRule="auto"/>
        <w:rPr>
          <w:lang w:val="en-GB"/>
        </w:rPr>
      </w:pPr>
      <w:r>
        <w:rPr>
          <w:lang w:val="en-GB"/>
        </w:rPr>
        <w:lastRenderedPageBreak/>
        <w:t xml:space="preserve">References: </w:t>
      </w:r>
    </w:p>
    <w:p w14:paraId="5C051003" w14:textId="77777777" w:rsidR="001C5262" w:rsidRPr="00920F3A" w:rsidRDefault="001C5262">
      <w:pPr>
        <w:pStyle w:val="Bibliographie"/>
        <w:rPr>
          <w:lang w:val="en-GB"/>
        </w:rPr>
      </w:pPr>
      <w:r>
        <w:fldChar w:fldCharType="begin"/>
      </w:r>
      <w:r w:rsidR="009D6A65" w:rsidRPr="00920F3A">
        <w:rPr>
          <w:lang w:val="en-GB"/>
        </w:rPr>
        <w:instrText>ADDIN ZOTERO_BIBL {"uncited":[],"omitted":[],"custom":[]} CSL_BIBLIOGRAPHY</w:instrText>
      </w:r>
      <w:r>
        <w:fldChar w:fldCharType="separate"/>
      </w:r>
      <w:r w:rsidR="009D6A65">
        <w:rPr>
          <w:rFonts w:cs="Calibri"/>
          <w:lang w:val="en-GB"/>
        </w:rPr>
        <w:t xml:space="preserve">Lepage, D., Vaidya, G., &amp; Guralnick, R. (2014). Avibase – a database system for managing and organizing taxonomic concepts. </w:t>
      </w:r>
      <w:r w:rsidR="009D6A65">
        <w:rPr>
          <w:rFonts w:cs="Calibri"/>
          <w:i/>
          <w:iCs/>
          <w:lang w:val="en-GB"/>
        </w:rPr>
        <w:t>ZooKeys</w:t>
      </w:r>
      <w:r w:rsidR="009D6A65">
        <w:rPr>
          <w:rFonts w:cs="Calibri"/>
          <w:lang w:val="en-GB"/>
        </w:rPr>
        <w:t xml:space="preserve">, </w:t>
      </w:r>
      <w:r w:rsidR="009D6A65">
        <w:rPr>
          <w:rFonts w:cs="Calibri"/>
          <w:i/>
          <w:iCs/>
          <w:lang w:val="en-GB"/>
        </w:rPr>
        <w:t>420</w:t>
      </w:r>
      <w:r w:rsidR="009D6A65">
        <w:rPr>
          <w:rFonts w:cs="Calibri"/>
          <w:lang w:val="en-GB"/>
        </w:rPr>
        <w:t>, 117–135. https://doi.org/10.3897/zookeys.420.7089</w:t>
      </w:r>
    </w:p>
    <w:p w14:paraId="49442373" w14:textId="77777777" w:rsidR="001C5262" w:rsidRPr="00920F3A" w:rsidRDefault="009D6A65">
      <w:pPr>
        <w:pStyle w:val="Bibliographie"/>
        <w:rPr>
          <w:lang w:val="en-GB"/>
        </w:rPr>
      </w:pPr>
      <w:r>
        <w:rPr>
          <w:rFonts w:cs="Calibri"/>
          <w:lang w:val="en-GB"/>
        </w:rPr>
        <w:t xml:space="preserve">McTavish, E. J., Gerbracht, J. A., Holder, M. T., Iliff, M. J., Lepage, D., Rasmussen, P., Redelings, B., Sanchez Reyes, L. L., &amp; Miller, E. T. (2024). </w:t>
      </w:r>
      <w:r>
        <w:rPr>
          <w:rFonts w:cs="Calibri"/>
          <w:i/>
          <w:iCs/>
          <w:lang w:val="en-GB"/>
        </w:rPr>
        <w:t>A complete and dynamic tree of birds</w:t>
      </w:r>
      <w:r>
        <w:rPr>
          <w:rFonts w:cs="Calibri"/>
          <w:lang w:val="en-GB"/>
        </w:rPr>
        <w:t>. Evolutionary Biology. https://doi.org/10.1101/2024.05.20.595017</w:t>
      </w:r>
    </w:p>
    <w:p w14:paraId="5610BCE1" w14:textId="77777777" w:rsidR="001C5262" w:rsidRPr="00920F3A" w:rsidRDefault="009D6A65">
      <w:pPr>
        <w:pStyle w:val="Bibliographie"/>
        <w:rPr>
          <w:lang w:val="en-GB"/>
        </w:rPr>
      </w:pPr>
      <w:r>
        <w:rPr>
          <w:rFonts w:cs="Calibri"/>
        </w:rPr>
        <w:t xml:space="preserve">Provini, P., Blettery, J., Brabant, D., Bellugeon, F., Pimparé, E. P., Leblanc, K., Monvoisin, E., Robert, E., Fara, E., &amp; Gagnier, P.-Y. (2024). </w:t>
      </w:r>
      <w:r>
        <w:rPr>
          <w:rFonts w:cs="Calibri"/>
          <w:i/>
          <w:iCs/>
          <w:lang w:val="en-GB"/>
        </w:rPr>
        <w:t>The e-COL+ Project, an Opportunity to Reflect on the Concept of Digital Twin</w:t>
      </w:r>
      <w:r>
        <w:rPr>
          <w:rFonts w:cs="Calibri"/>
          <w:lang w:val="en-GB"/>
        </w:rPr>
        <w:t>. https://doi.org/10.1163/18253911-0390310115</w:t>
      </w:r>
    </w:p>
    <w:p w14:paraId="5B2AF63A" w14:textId="77777777" w:rsidR="001C5262" w:rsidRPr="00920F3A" w:rsidRDefault="009D6A65">
      <w:pPr>
        <w:pStyle w:val="Bibliographie"/>
        <w:rPr>
          <w:lang w:val="en-GB"/>
        </w:rPr>
      </w:pPr>
      <w:r>
        <w:rPr>
          <w:rFonts w:cs="Calibri"/>
          <w:lang w:val="en-GB"/>
        </w:rPr>
        <w:t xml:space="preserve">Provini, P., &amp; Höfling, E. (2020). To Hop or Not to Hop? The Answer Is in the Bird Trees. </w:t>
      </w:r>
      <w:r>
        <w:rPr>
          <w:rFonts w:cs="Calibri"/>
          <w:i/>
          <w:iCs/>
          <w:lang w:val="en-GB"/>
        </w:rPr>
        <w:t>Systematic Biology</w:t>
      </w:r>
      <w:r>
        <w:rPr>
          <w:rFonts w:cs="Calibri"/>
          <w:lang w:val="en-GB"/>
        </w:rPr>
        <w:t xml:space="preserve">, </w:t>
      </w:r>
      <w:r>
        <w:rPr>
          <w:rFonts w:cs="Calibri"/>
          <w:i/>
          <w:iCs/>
          <w:lang w:val="en-GB"/>
        </w:rPr>
        <w:t>69</w:t>
      </w:r>
      <w:r>
        <w:rPr>
          <w:rFonts w:cs="Calibri"/>
          <w:lang w:val="en-GB"/>
        </w:rPr>
        <w:t>(5), 962–972. https://doi.org/10.1093/sysbio/syaa015</w:t>
      </w:r>
    </w:p>
    <w:p w14:paraId="1A34FDE4" w14:textId="77777777" w:rsidR="001C5262" w:rsidRDefault="009D6A65">
      <w:pPr>
        <w:pStyle w:val="Bibliographie"/>
      </w:pPr>
      <w:r>
        <w:rPr>
          <w:rFonts w:cs="Calibri"/>
          <w:lang w:val="en-GB"/>
        </w:rPr>
        <w:t xml:space="preserve">Wilman, H., Belmaker, J., Simpson, J., de la Rosa, C., Rivadeneira, M. M., &amp; Jetz, W. (2014). EltonTraits 1.0: Species-level foraging attributes of the world’s birds and mammals. </w:t>
      </w:r>
      <w:r>
        <w:rPr>
          <w:rFonts w:cs="Calibri"/>
          <w:i/>
          <w:iCs/>
        </w:rPr>
        <w:t>Ecology</w:t>
      </w:r>
      <w:r>
        <w:rPr>
          <w:rFonts w:cs="Calibri"/>
        </w:rPr>
        <w:t xml:space="preserve">, </w:t>
      </w:r>
      <w:r>
        <w:rPr>
          <w:rFonts w:cs="Calibri"/>
          <w:i/>
          <w:iCs/>
        </w:rPr>
        <w:t>95</w:t>
      </w:r>
      <w:r>
        <w:rPr>
          <w:rFonts w:cs="Calibri"/>
        </w:rPr>
        <w:t>(7), 2027–2027. https://doi.org/10.1890/13-1917.1</w:t>
      </w:r>
    </w:p>
    <w:p w14:paraId="7DFCE01A" w14:textId="77777777" w:rsidR="001C5262" w:rsidRDefault="001C5262">
      <w:pPr>
        <w:spacing w:line="480" w:lineRule="auto"/>
      </w:pPr>
      <w:r>
        <w:fldChar w:fldCharType="end"/>
      </w:r>
    </w:p>
    <w:sectPr w:rsidR="001C5262" w:rsidSect="001C5262">
      <w:pgSz w:w="11906" w:h="16838"/>
      <w:pgMar w:top="1417" w:right="1417" w:bottom="1417" w:left="1417" w:header="0" w:footer="0" w:gutter="0"/>
      <w:lnNumType w:countBy="1" w:distance="283" w:restart="continuou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autoHyphenation/>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C5262"/>
    <w:rsid w:val="000A446E"/>
    <w:rsid w:val="001C5262"/>
    <w:rsid w:val="00920F3A"/>
    <w:rsid w:val="009D6A65"/>
    <w:rsid w:val="00F314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8900"/>
  <w15:docId w15:val="{9F5D7434-9247-446B-BE20-AFBA492D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62"/>
    <w:pPr>
      <w:spacing w:after="200" w:line="276"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C5262"/>
    <w:pPr>
      <w:keepNext/>
      <w:keepLines/>
      <w:spacing w:before="240" w:after="0"/>
      <w:outlineLvl w:val="0"/>
    </w:pPr>
    <w:rPr>
      <w:rFonts w:ascii="Calibri Light" w:hAnsi="Calibri Light"/>
      <w:color w:val="B35E06"/>
      <w:sz w:val="32"/>
      <w:szCs w:val="32"/>
    </w:rPr>
  </w:style>
  <w:style w:type="paragraph" w:customStyle="1" w:styleId="Titre21">
    <w:name w:val="Titre 21"/>
    <w:basedOn w:val="Normal"/>
    <w:next w:val="Normal"/>
    <w:qFormat/>
    <w:rsid w:val="001C5262"/>
    <w:pPr>
      <w:keepNext/>
      <w:keepLines/>
      <w:spacing w:before="320" w:after="120"/>
      <w:outlineLvl w:val="1"/>
    </w:pPr>
    <w:rPr>
      <w:rFonts w:ascii="Calibri Light" w:hAnsi="Calibri Light"/>
      <w:b/>
      <w:bCs/>
      <w:color w:val="F07F09"/>
      <w:sz w:val="26"/>
      <w:szCs w:val="26"/>
    </w:rPr>
  </w:style>
  <w:style w:type="paragraph" w:customStyle="1" w:styleId="Titre31">
    <w:name w:val="Titre 31"/>
    <w:basedOn w:val="Normal"/>
    <w:next w:val="Normal"/>
    <w:qFormat/>
    <w:rsid w:val="001C5262"/>
    <w:pPr>
      <w:keepNext/>
      <w:keepLines/>
      <w:spacing w:before="40" w:after="0"/>
      <w:outlineLvl w:val="2"/>
    </w:pPr>
    <w:rPr>
      <w:rFonts w:ascii="Calibri Light" w:hAnsi="Calibri Light"/>
      <w:color w:val="773F04"/>
      <w:sz w:val="24"/>
      <w:szCs w:val="24"/>
    </w:rPr>
  </w:style>
  <w:style w:type="paragraph" w:customStyle="1" w:styleId="Titre41">
    <w:name w:val="Titre 41"/>
    <w:basedOn w:val="Normal"/>
    <w:next w:val="Normal"/>
    <w:qFormat/>
    <w:rsid w:val="001C5262"/>
    <w:pPr>
      <w:keepNext/>
      <w:keepLines/>
      <w:spacing w:before="40" w:after="0"/>
      <w:outlineLvl w:val="3"/>
    </w:pPr>
    <w:rPr>
      <w:rFonts w:ascii="Calibri Light" w:hAnsi="Calibri Light"/>
      <w:i/>
      <w:iCs/>
      <w:color w:val="B35E06"/>
    </w:rPr>
  </w:style>
  <w:style w:type="character" w:customStyle="1" w:styleId="Titre2Car">
    <w:name w:val="Titre 2 Car"/>
    <w:basedOn w:val="Policepardfaut"/>
    <w:qFormat/>
    <w:rsid w:val="001C5262"/>
    <w:rPr>
      <w:rFonts w:ascii="Calibri Light" w:eastAsia="Calibri" w:hAnsi="Calibri Light" w:cs="Tahoma"/>
      <w:b/>
      <w:bCs/>
      <w:color w:val="F07F09"/>
      <w:sz w:val="26"/>
      <w:szCs w:val="26"/>
    </w:rPr>
  </w:style>
  <w:style w:type="character" w:customStyle="1" w:styleId="Titre4Car">
    <w:name w:val="Titre 4 Car"/>
    <w:basedOn w:val="Policepardfaut"/>
    <w:qFormat/>
    <w:rsid w:val="001C5262"/>
    <w:rPr>
      <w:rFonts w:ascii="Calibri Light" w:eastAsia="Calibri" w:hAnsi="Calibri Light" w:cs="Tahoma"/>
      <w:i/>
      <w:iCs/>
      <w:color w:val="B35E06"/>
    </w:rPr>
  </w:style>
  <w:style w:type="character" w:customStyle="1" w:styleId="LienInternet">
    <w:name w:val="Lien Internet"/>
    <w:basedOn w:val="Policepardfaut"/>
    <w:rsid w:val="001C5262"/>
    <w:rPr>
      <w:color w:val="6B9F25"/>
      <w:u w:val="single"/>
    </w:rPr>
  </w:style>
  <w:style w:type="character" w:customStyle="1" w:styleId="lgendeCar">
    <w:name w:val="légende Car"/>
    <w:qFormat/>
    <w:rsid w:val="001C5262"/>
    <w:rPr>
      <w:rFonts w:cs="Calibri"/>
      <w:b/>
      <w:bCs/>
      <w:color w:val="F07F09"/>
      <w:sz w:val="18"/>
      <w:szCs w:val="18"/>
      <w:lang w:val="en-GB"/>
    </w:rPr>
  </w:style>
  <w:style w:type="character" w:customStyle="1" w:styleId="Titre1Car">
    <w:name w:val="Titre 1 Car"/>
    <w:basedOn w:val="Policepardfaut"/>
    <w:qFormat/>
    <w:rsid w:val="001C5262"/>
    <w:rPr>
      <w:rFonts w:ascii="Calibri Light" w:eastAsia="Calibri" w:hAnsi="Calibri Light" w:cs="Tahoma"/>
      <w:color w:val="B35E06"/>
      <w:sz w:val="32"/>
      <w:szCs w:val="32"/>
    </w:rPr>
  </w:style>
  <w:style w:type="character" w:customStyle="1" w:styleId="Titre3Car">
    <w:name w:val="Titre 3 Car"/>
    <w:basedOn w:val="Policepardfaut"/>
    <w:qFormat/>
    <w:rsid w:val="001C5262"/>
    <w:rPr>
      <w:rFonts w:ascii="Calibri Light" w:eastAsia="Calibri" w:hAnsi="Calibri Light" w:cs="Tahoma"/>
      <w:color w:val="773F04"/>
      <w:sz w:val="24"/>
      <w:szCs w:val="24"/>
    </w:rPr>
  </w:style>
  <w:style w:type="character" w:styleId="Textedelespacerserv">
    <w:name w:val="Placeholder Text"/>
    <w:basedOn w:val="Policepardfaut"/>
    <w:qFormat/>
    <w:rsid w:val="001C5262"/>
    <w:rPr>
      <w:color w:val="808080"/>
    </w:rPr>
  </w:style>
  <w:style w:type="character" w:styleId="Numrodeligne">
    <w:name w:val="line number"/>
    <w:basedOn w:val="Policepardfaut"/>
    <w:qFormat/>
    <w:rsid w:val="001C5262"/>
  </w:style>
  <w:style w:type="character" w:customStyle="1" w:styleId="Numrotationdelignes">
    <w:name w:val="Numérotation de lignes"/>
    <w:rsid w:val="001C5262"/>
  </w:style>
  <w:style w:type="paragraph" w:styleId="Titre">
    <w:name w:val="Title"/>
    <w:basedOn w:val="Normal"/>
    <w:next w:val="Corpsdetexte"/>
    <w:qFormat/>
    <w:rsid w:val="001C5262"/>
    <w:pPr>
      <w:keepNext/>
      <w:spacing w:before="240" w:after="120"/>
    </w:pPr>
    <w:rPr>
      <w:rFonts w:ascii="Liberation Sans" w:eastAsia="Microsoft YaHei" w:hAnsi="Liberation Sans" w:cs="Lucida Sans"/>
      <w:sz w:val="28"/>
      <w:szCs w:val="28"/>
    </w:rPr>
  </w:style>
  <w:style w:type="paragraph" w:styleId="Corpsdetexte">
    <w:name w:val="Body Text"/>
    <w:basedOn w:val="Normal"/>
    <w:rsid w:val="001C5262"/>
    <w:pPr>
      <w:spacing w:after="140"/>
    </w:pPr>
  </w:style>
  <w:style w:type="paragraph" w:styleId="Liste">
    <w:name w:val="List"/>
    <w:basedOn w:val="Corpsdetexte"/>
    <w:rsid w:val="001C5262"/>
    <w:rPr>
      <w:rFonts w:cs="Lucida Sans"/>
    </w:rPr>
  </w:style>
  <w:style w:type="paragraph" w:customStyle="1" w:styleId="Lgende1">
    <w:name w:val="Légende1"/>
    <w:basedOn w:val="Normal"/>
    <w:qFormat/>
    <w:rsid w:val="001C5262"/>
    <w:pPr>
      <w:suppressLineNumbers/>
      <w:spacing w:before="120" w:after="120"/>
    </w:pPr>
    <w:rPr>
      <w:rFonts w:cs="Lucida Sans"/>
      <w:i/>
      <w:iCs/>
      <w:sz w:val="24"/>
      <w:szCs w:val="24"/>
    </w:rPr>
  </w:style>
  <w:style w:type="paragraph" w:customStyle="1" w:styleId="Index">
    <w:name w:val="Index"/>
    <w:basedOn w:val="Normal"/>
    <w:qFormat/>
    <w:rsid w:val="001C5262"/>
    <w:pPr>
      <w:suppressLineNumbers/>
    </w:pPr>
    <w:rPr>
      <w:rFonts w:cs="Lucida Sans"/>
    </w:rPr>
  </w:style>
  <w:style w:type="paragraph" w:customStyle="1" w:styleId="lgende">
    <w:name w:val="légende"/>
    <w:qFormat/>
    <w:rsid w:val="001C5262"/>
    <w:rPr>
      <w:rFonts w:cs="Calibri"/>
      <w:b/>
      <w:bCs/>
      <w:color w:val="F07F09"/>
      <w:sz w:val="18"/>
      <w:szCs w:val="18"/>
      <w:lang w:val="en-GB"/>
    </w:rPr>
  </w:style>
  <w:style w:type="paragraph" w:styleId="Bibliographie">
    <w:name w:val="Bibliography"/>
    <w:basedOn w:val="Normal"/>
    <w:next w:val="Normal"/>
    <w:qFormat/>
    <w:rsid w:val="001C5262"/>
    <w:pPr>
      <w:spacing w:after="0" w:line="480" w:lineRule="auto"/>
      <w:ind w:left="720" w:hanging="720"/>
    </w:pPr>
  </w:style>
  <w:style w:type="character" w:customStyle="1" w:styleId="object">
    <w:name w:val="object"/>
    <w:basedOn w:val="Policepardfaut"/>
    <w:rsid w:val="00F314E8"/>
  </w:style>
  <w:style w:type="character" w:styleId="Lienhypertexte">
    <w:name w:val="Hyperlink"/>
    <w:basedOn w:val="Policepardfaut"/>
    <w:uiPriority w:val="99"/>
    <w:unhideWhenUsed/>
    <w:rsid w:val="00F314E8"/>
    <w:rPr>
      <w:color w:val="0000FF"/>
      <w:u w:val="single"/>
    </w:rPr>
  </w:style>
  <w:style w:type="character" w:styleId="Mentionnonrsolue">
    <w:name w:val="Unresolved Mention"/>
    <w:basedOn w:val="Policepardfaut"/>
    <w:uiPriority w:val="99"/>
    <w:semiHidden/>
    <w:unhideWhenUsed/>
    <w:rsid w:val="00F31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nr.fr/ProjetIA-21-ESRE-005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8667</Words>
  <Characters>47673</Characters>
  <Application>Microsoft Office Word</Application>
  <DocSecurity>0</DocSecurity>
  <Lines>397</Lines>
  <Paragraphs>112</Paragraphs>
  <ScaleCrop>false</ScaleCrop>
  <Company/>
  <LinksUpToDate>false</LinksUpToDate>
  <CharactersWithSpaces>56228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STEINKAMPF-PELLECUER Nyniane</dc:creator>
  <dc:description/>
  <cp:lastModifiedBy>STEINKAMPF-PELLECUER Nyniane</cp:lastModifiedBy>
  <cp:revision>36</cp:revision>
  <cp:lastPrinted>2025-10-14T08:32:00Z</cp:lastPrinted>
  <dcterms:created xsi:type="dcterms:W3CDTF">2025-09-04T07:48:00Z</dcterms:created>
  <dcterms:modified xsi:type="dcterms:W3CDTF">2026-03-23T14:06:00Z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id="PTdBpzaA"/&gt;&lt;style id="http://www.zotero.org/styles/methods-in-ecology-and-evolution" hasBibliography="1" bibliographyStyleHasBeenSet="1"/&gt;&lt;prefs&gt;&lt;pref name="fieldType" value="Field"/&gt;&lt;/prefs&gt;&lt;/da</vt:lpwstr>
  </property>
  <property fmtid="{D5CDD505-2E9C-101B-9397-08002B2CF9AE}" pid="3" name="ZOTERO_PREF_2">
    <vt:lpwstr>ta&gt;</vt:lpwstr>
  </property>
</Properties>
</file>