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and a provenance system must link a capture device to its content under authorization without letting anyone who breaches one part of the system make that link.</w:t>
      </w:r>
      <w:r>
        <w:t xml:space="preserve"> We argue that privacy should be measured by the information that exposure yields, and formalize that measure as Semantic Non-Assembly (SNA): no coalition of fewer than a defined threshold of components (independently operated parts of the system) can assemble a sufficient input to a target identification function, so complete exposure of any sub-threshold component yields no actionable data.</w:t>
      </w:r>
      <w:r>
        <w:t xml:space="preserve"> The Birthmark Protocol achieves SNA against any single compromised component. It separates a device’s credential from its ContentHash across delivery paths and encryption boundaries, and a per-transaction key, BlindShare_key, lets the credential validator return a signed verdict on a FullPacketHash it cannot read; correlation requires cross-role compromise.</w:t>
      </w:r>
      <w:r>
        <w:t xml:space="preserve"/>
      </w:r>
      <w:r>
        <w:t xml:space="preserve"/>
      </w:r>
      <w:r>
        <w:t xml:space="preserve"> Seven privacy properties are established with executable ProVerif proofs: Device Non-Correlation, Registry Observer Non-Identification, Content Channel Server Blindness, and resistance to the compromise of C, the credential validator, a content channel server, or a gatekeeper individually (Appendices A.2 and A.3).</w:t>
      </w:r>
      <w:r>
        <w:t xml:space="preserve"> Timing and traffic analysis, which the proofs do not model, are evaluated empirically in simulation (Appendix D).</w:t>
      </w:r>
      <w:r>
        <w:t xml:space="preserve"> A reference deployment, the Birthmark Standard, records verified content in the Birthmark Media Registry and is viable on constrained capture hardware where zero-knowledge approaches are computationally infeasible; its device-side cost, estimated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w:t>
      </w:r>
      <w:r>
        <w:t xml:space="preserve">34 pages</w:t>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by giving Hoepman’s SEPARATE and HIDE privacy design strategies [12] a precise, executable threshold we call Semantic Non-Assembly.</w:t>
      </w:r>
    </w:p>
    <w:p>
      <w:pPr>
        <w:pStyle w:val="BodyText"/>
      </w:pPr>
      <w:r>
        <w:t xml:space="preserve">This paper makes three contributions. The first is Semantic Non-Assembly as a formalized, machine-checked privacy property: a structural threshold on the information that exposing a component yields (Sections 1.1 and 4). The second is the Birthmark Protocol, a two-channel provenance architecture that instantiates the guarantee, with ProVerif proofs of seven privacy properties (Properties A to F and J; Section 4 and Appendix A). The third is the Birthmark Standard, a reference instantiation that demonstrates deployability on constrained capture hardware (Section 5).</w:t>
      </w:r>
    </w:p>
    <w:p>
      <w:pPr>
        <w:pStyle w:val="Heading2"/>
      </w:pPr>
      <w:r>
        <w:rPr>
          <w:b/>
          <w:bCs/>
        </w:rPr>
        <w:t xml:space="preserve">1.1 Semantic Non-Assembly</w:t>
      </w:r>
    </w:p>
    <w:p>
      <w:pPr>
        <w:pStyle w:val="BodyText"/>
      </w:pPr>
      <w: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w:t>
      </w:r>
      <w:r>
        <w:t xml:space="preserve"> (independently operated parts of the system; Section 3.1 defines them for this architecture)</w:t>
      </w:r>
      <w:r>
        <w:t xml:space="preserve"> can assemble a state from which f is computable. A sufficient state is any combination of information fields whose values together enable execution of f</w:t>
      </w:r>
      <w:r>
        <w:t xml:space="preserve">.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pPr>
      <w: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w:t>
      </w:r>
    </w:p>
    <w:p>
      <w:pPr>
        <w:pStyle w:val="BodyText"/>
      </w:pPr>
      <w: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w:t>
      </w:r>
      <w:r>
        <w:t xml:space="preserve">Provenance is the canonical case. Linking a device to its content is the system’s purpose, so the requirement is that watching the system, even from inside one component, does not let an observer make that link.</w:t>
      </w:r>
    </w:p>
    <w:p>
      <w:pPr>
        <w:pStyle w:val="Heading2"/>
      </w:pPr>
      <w:r>
        <w:rPr>
          <w:b/>
          <w:bCs/>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Birthmark Media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[11])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A system can follow every Privacy by Design principle in good faith and still fail SNA, if a single component ends up holding a sufficient information set</w:t>
      </w:r>
      <w:r>
        <w:t xml:space="preserve">.</w:t>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w:t>
      </w:r>
      <w:r>
        <w:t xml:space="preserve">Their formal guarantees include resistance to correlation even by an adversary who compromises the credential validator; this architecture also establishes that property as Property E (Appendix A.3), by a different mechanism. Section 6.1 compares the two on deployment cost and trust assumptions.</w:t>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more robust than one that requires a single key. </w:t>
      </w:r>
      <w:r>
        <w:t xml:space="preserve">Split-knowledge architectures partition a key or secret value into shares so that reconstruction requires a threshold of them.</w:t>
      </w:r>
      <w:r>
        <w:t xml:space="preserve">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hardware credential and a ContentHash would combine them into a shared secret requiring t-of-n parties to reconstruct; Semantic Non-Assembly ensures the two fields are never co-located, making the threshold reconstruction question moot.</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w:t>
      </w:r>
      <w:r>
        <w:t xml:space="preserve">.</w:t>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t xml:space="preserve">Conventional data minimization seeks to reduce the amount of retained information. Semantic Non-Assembly instead minimizes the information available to any architectural component with respect to a designated identification function.</w:t>
      </w:r>
      <w:r>
        <w:t xml:space="preserv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w:t>
      </w:r>
      <w:r>
        <w:t xml:space="preserve">None of the frameworks surveyed here applies these principles to public media provenance.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 </w:t>
      </w:r>
      <w:r>
        <w:t xml:space="preserve">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w:t>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A system can satisfy Prio’s guarantee while still linking any one given submission to its device, since Prio’s privacy is a property of the aggregate, not of any individual contribution.</w:t>
      </w:r>
    </w:p>
    <w:p>
      <w:pPr>
        <w:pStyle w:val="BodyText"/>
      </w:pPr>
      <w:r>
        <w:t xml:space="preserve">The approaches in Table 1 share a pattern. Each protects an object that exists somewhere (a store, a data flow, a released dataset, a secret, an input value, an aggregate), and each guarantee concerns who can reach that object or what can be inferred from it. Semantic Non-Assembly asks a different question: whether the sufficient state for the identification function is ever assembled at any one component. The remaining gap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keepNext/>
            </w:pPr>
            <w:r>
              <w:t xml:space="preserve">Access control</w:t>
            </w:r>
          </w:p>
        </w:tc>
        <w:tc>
          <w:tcPr>
            <w:tcW w:w="2011" w:type="dxa"/>
            <w:tcBorders>
              <w:bottom w:val="single" w:sz="2" w:space="0" w:color="BFBFBF"/>
            </w:tcBorders>
            <w:vAlign w:val="top"/>
          </w:tcPr>
          <w:p>
            <w:pPr>
              <w:pStyle w:val="TableText"/>
              <w:keepNext/>
            </w:pPr>
            <w:r>
              <w:t xml:space="preserve">Operations on an existing store</w:t>
            </w:r>
          </w:p>
        </w:tc>
        <w:tc>
          <w:tcPr>
            <w:tcW w:w="2243" w:type="dxa"/>
            <w:tcBorders>
              <w:bottom w:val="single" w:sz="2" w:space="0" w:color="BFBFBF"/>
            </w:tcBorders>
            <w:vAlign w:val="top"/>
          </w:tcPr>
          <w:p>
            <w:pPr>
              <w:pStyle w:val="TableText"/>
              <w:keepN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keepNext/>
            </w:pPr>
            <w:r>
              <w:t xml:space="preserve">SNA eliminates the store; failure requires t+1 components at once</w:t>
            </w:r>
          </w:p>
        </w:tc>
      </w:tr>
      <w:tr>
        <w:trPr>
          <w:cantSplit/>
        </w:trPr>
        <w:tc>
          <w:tcPr>
            <w:tcW w:w="2133" w:type="dxa"/>
            <w:tcBorders>
              <w:bottom w:val="single" w:sz="2" w:space="0" w:color="BFBFBF"/>
            </w:tcBorders>
            <w:vAlign w:val="top"/>
          </w:tcPr>
          <w:p>
            <w:pPr>
              <w:pStyle w:val="TableText"/>
              <w:keepNext/>
            </w:pPr>
            <w:r>
              <w:t xml:space="preserve">Information flow control</w:t>
            </w:r>
          </w:p>
        </w:tc>
        <w:tc>
          <w:tcPr>
            <w:tcW w:w="2011" w:type="dxa"/>
            <w:tcBorders>
              <w:bottom w:val="single" w:sz="2" w:space="0" w:color="BFBFBF"/>
            </w:tcBorders>
            <w:vAlign w:val="top"/>
          </w:tcPr>
          <w:p>
            <w:pPr>
              <w:pStyle w:val="TableText"/>
              <w:keepNext/>
            </w:pPr>
            <w:r>
              <w:t xml:space="preserve">Propagation paths for data that exists at a source</w:t>
            </w:r>
          </w:p>
        </w:tc>
        <w:tc>
          <w:tcPr>
            <w:tcW w:w="2243" w:type="dxa"/>
            <w:tcBorders>
              <w:bottom w:val="single" w:sz="2" w:space="0" w:color="BFBFBF"/>
            </w:tcBorders>
            <w:vAlign w:val="top"/>
          </w:tcPr>
          <w:p>
            <w:pPr>
              <w:pStyle w:val="TableText"/>
              <w:keepNext/>
            </w:pPr>
            <w:r>
              <w:t xml:space="preserve">The source data, if policy enforcement is bypassed</w:t>
            </w:r>
          </w:p>
        </w:tc>
        <w:tc>
          <w:tcPr>
            <w:tcW w:w="2972" w:type="dxa"/>
            <w:tcBorders>
              <w:bottom w:val="single" w:sz="2" w:space="0" w:color="BFBFBF"/>
            </w:tcBorders>
            <w:vAlign w:val="top"/>
          </w:tcPr>
          <w:p>
            <w:pPr>
              <w:pStyle w:val="TableText"/>
              <w:keepN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keepNext/>
            </w:pPr>
            <w:r>
              <w:t xml:space="preserve">Statistical disclosure limitation</w:t>
            </w:r>
          </w:p>
        </w:tc>
        <w:tc>
          <w:tcPr>
            <w:tcW w:w="2011" w:type="dxa"/>
            <w:tcBorders>
              <w:bottom w:val="single" w:sz="2" w:space="0" w:color="BFBFBF"/>
            </w:tcBorders>
            <w:vAlign w:val="top"/>
          </w:tcPr>
          <w:p>
            <w:pPr>
              <w:pStyle w:val="TableText"/>
              <w:keepNext/>
            </w:pPr>
            <w:r>
              <w:t xml:space="preserve">A released dataset, through noise, suppression or generalization</w:t>
            </w:r>
          </w:p>
        </w:tc>
        <w:tc>
          <w:tcPr>
            <w:tcW w:w="2243" w:type="dxa"/>
            <w:tcBorders>
              <w:bottom w:val="single" w:sz="2" w:space="0" w:color="BFBFBF"/>
            </w:tcBorders>
            <w:vAlign w:val="top"/>
          </w:tcPr>
          <w:p>
            <w:pPr>
              <w:pStyle w:val="TableText"/>
              <w:keepNext/>
            </w:pPr>
            <w:r>
              <w:t xml:space="preserve">The dataset, with inference bounded by the added distortion</w:t>
            </w:r>
          </w:p>
        </w:tc>
        <w:tc>
          <w:tcPr>
            <w:tcW w:w="2972" w:type="dxa"/>
            <w:tcBorders>
              <w:bottom w:val="single" w:sz="2" w:space="0" w:color="BFBFBF"/>
            </w:tcBorders>
            <w:vAlign w:val="top"/>
          </w:tcPr>
          <w:p>
            <w:pPr>
              <w:pStyle w:val="TableText"/>
              <w:keepNext/>
            </w:pPr>
            <w:r>
              <w:t xml:space="preserve">No dataset exists at any sub-threshold component to run inference on</w:t>
            </w:r>
          </w:p>
        </w:tc>
      </w:tr>
      <w:tr>
        <w:trPr>
          <w:cantSplit/>
        </w:trPr>
        <w:tc>
          <w:tcPr>
            <w:tcW w:w="2133" w:type="dxa"/>
            <w:tcBorders>
              <w:bottom w:val="single" w:sz="2" w:space="0" w:color="BFBFBF"/>
            </w:tcBorders>
            <w:vAlign w:val="top"/>
          </w:tcPr>
          <w:p>
            <w:pPr>
              <w:pStyle w:val="TableText"/>
              <w:keepNext/>
            </w:pPr>
            <w:r>
              <w:t xml:space="preserve">Split-knowledge and threshold schemes</w:t>
            </w:r>
          </w:p>
        </w:tc>
        <w:tc>
          <w:tcPr>
            <w:tcW w:w="2011" w:type="dxa"/>
            <w:tcBorders>
              <w:bottom w:val="single" w:sz="2" w:space="0" w:color="BFBFBF"/>
            </w:tcBorders>
            <w:vAlign w:val="top"/>
          </w:tcPr>
          <w:p>
            <w:pPr>
              <w:pStyle w:val="TableText"/>
              <w:keepNext/>
            </w:pPr>
            <w:r>
              <w:t xml:space="preserve">One algebraic object (a key or secret) shared t-of-n</w:t>
            </w:r>
          </w:p>
        </w:tc>
        <w:tc>
          <w:tcPr>
            <w:tcW w:w="2243" w:type="dxa"/>
            <w:tcBorders>
              <w:bottom w:val="single" w:sz="2" w:space="0" w:color="BFBFBF"/>
            </w:tcBorders>
            <w:vAlign w:val="top"/>
          </w:tcPr>
          <w:p>
            <w:pPr>
              <w:pStyle w:val="TableText"/>
              <w:keepNext/>
            </w:pPr>
            <w:r>
              <w:t xml:space="preserve">One share, which reveals nothing alone; t colluding parties reconstruct the secret</w:t>
            </w:r>
          </w:p>
        </w:tc>
        <w:tc>
          <w:tcPr>
            <w:tcW w:w="2972" w:type="dxa"/>
            <w:tcBorders>
              <w:bottom w:val="single" w:sz="2" w:space="0" w:color="BFBFBF"/>
            </w:tcBorders>
            <w:vAlign w:val="top"/>
          </w:tcPr>
          <w:p>
            <w:pPr>
              <w:pStyle w:val="TableText"/>
              <w:keepNext/>
            </w:pPr>
            <w:r>
              <w:t xml:space="preserve">SNA protects a typed information schema whose fields are never co-located, so there is nothing to reconstruct; it fails only at t+1 components</w:t>
            </w:r>
          </w:p>
        </w:tc>
      </w:tr>
      <w:tr>
        <w:trPr>
          <w:cantSplit/>
        </w:trPr>
        <w:tc>
          <w:tcPr>
            <w:tcW w:w="2133" w:type="dxa"/>
            <w:tcBorders>
              <w:bottom w:val="single" w:sz="2" w:space="0" w:color="BFBFBF"/>
            </w:tcBorders>
            <w:vAlign w:val="top"/>
          </w:tcPr>
          <w:p>
            <w:pPr>
              <w:pStyle w:val="TableText"/>
              <w:keepNext/>
            </w:pPr>
            <w:r>
              <w:t xml:space="preserve">MPC t-privacy</w:t>
            </w:r>
          </w:p>
        </w:tc>
        <w:tc>
          <w:tcPr>
            <w:tcW w:w="2011" w:type="dxa"/>
            <w:tcBorders>
              <w:bottom w:val="single" w:sz="2" w:space="0" w:color="BFBFBF"/>
            </w:tcBorders>
            <w:vAlign w:val="top"/>
          </w:tcPr>
          <w:p>
            <w:pPr>
              <w:pStyle w:val="TableText"/>
              <w:keepNext/>
            </w:pPr>
            <w:r>
              <w:t xml:space="preserve">Secrecy of input values during protocol execution</w:t>
            </w:r>
          </w:p>
        </w:tc>
        <w:tc>
          <w:tcPr>
            <w:tcW w:w="2243" w:type="dxa"/>
            <w:tcBorders>
              <w:bottom w:val="single" w:sz="2" w:space="0" w:color="BFBFBF"/>
            </w:tcBorders>
            <w:vAlign w:val="top"/>
          </w:tcPr>
          <w:p>
            <w:pPr>
              <w:pStyle w:val="TableText"/>
              <w:keepNext/>
            </w:pPr>
            <w:r>
              <w:t xml:space="preserve">Nothing beyond that party’s own inputs and outputs, up to t parties</w:t>
            </w:r>
          </w:p>
        </w:tc>
        <w:tc>
          <w:tcPr>
            <w:tcW w:w="2972" w:type="dxa"/>
            <w:tcBorders>
              <w:bottom w:val="single" w:sz="2" w:space="0" w:color="BFBFBF"/>
            </w:tcBorders>
            <w:vAlign w:val="top"/>
          </w:tcPr>
          <w:p>
            <w:pPr>
              <w:pStyle w:val="TableText"/>
              <w:keepN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keepNext/>
            </w:pPr>
            <w:r>
              <w:t xml:space="preserve">Prio</w:t>
            </w:r>
          </w:p>
        </w:tc>
        <w:tc>
          <w:tcPr>
            <w:tcW w:w="2011" w:type="dxa"/>
            <w:tcBorders>
              <w:bottom w:val="single" w:sz="2" w:space="0" w:color="BFBFBF"/>
            </w:tcBorders>
            <w:vAlign w:val="top"/>
          </w:tcPr>
          <w:p>
            <w:pPr>
              <w:pStyle w:val="TableText"/>
              <w:keepNext/>
            </w:pPr>
            <w:r>
              <w:t xml:space="preserve">Aggregate statistics across many clients</w:t>
            </w:r>
          </w:p>
        </w:tc>
        <w:tc>
          <w:tcPr>
            <w:tcW w:w="2243" w:type="dxa"/>
            <w:tcBorders>
              <w:bottom w:val="single" w:sz="2" w:space="0" w:color="BFBFBF"/>
            </w:tcBorders>
            <w:vAlign w:val="top"/>
          </w:tcPr>
          <w:p>
            <w:pPr>
              <w:pStyle w:val="TableText"/>
              <w:keepNext/>
            </w:pPr>
            <w:r>
              <w:t xml:space="preserve">One secret share of a contribution, which reveals nothing alone</w:t>
            </w:r>
          </w:p>
        </w:tc>
        <w:tc>
          <w:tcPr>
            <w:tcW w:w="2972" w:type="dxa"/>
            <w:tcBorders>
              <w:bottom w:val="single" w:sz="2" w:space="0" w:color="BFBFBF"/>
            </w:tcBorders>
            <w:vAlign w:val="top"/>
          </w:tcPr>
          <w:p>
            <w:pPr>
              <w:pStyle w:val="TableText"/>
              <w:keepN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keepNext/>
            </w:pPr>
            <w:r>
              <w:t xml:space="preserve">Credential channel server (C)</w:t>
            </w:r>
          </w:p>
        </w:tc>
        <w:tc>
          <w:tcPr>
            <w:tcW w:w="5829" w:type="dxa"/>
            <w:tcBorders>
              <w:bottom w:val="single" w:sz="2" w:space="0" w:color="BFBFBF"/>
            </w:tcBorders>
            <w:vAlign w:val="top"/>
          </w:tcPr>
          <w:p>
            <w:pPr>
              <w:pStyle w:val="TableText"/>
              <w:keepNext/>
            </w:pPr>
            <w:r>
              <w:t xml:space="preserve">Receives the credential channel, wraps FullPacketHash under a fresh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keepNext/>
            </w:pPr>
            <w:r>
              <w:t xml:space="preserve">Sections 3.2, 3.3</w:t>
            </w:r>
          </w:p>
        </w:tc>
      </w:tr>
      <w:tr>
        <w:trPr>
          <w:cantSplit/>
        </w:trPr>
        <w:tc>
          <w:tcPr>
            <w:tcW w:w="2257" w:type="dxa"/>
            <w:tcBorders>
              <w:bottom w:val="single" w:sz="2" w:space="0" w:color="BFBFBF"/>
            </w:tcBorders>
            <w:vAlign w:val="top"/>
          </w:tcPr>
          <w:p>
            <w:pPr>
              <w:pStyle w:val="TableText"/>
              <w:keepNext/>
            </w:pPr>
            <w:r>
              <w:t xml:space="preserve">Credential validator</w:t>
            </w:r>
          </w:p>
        </w:tc>
        <w:tc>
          <w:tcPr>
            <w:tcW w:w="5829" w:type="dxa"/>
            <w:tcBorders>
              <w:bottom w:val="single" w:sz="2" w:space="0" w:color="BFBFBF"/>
            </w:tcBorders>
            <w:vAlign w:val="top"/>
          </w:tcPr>
          <w:p>
            <w:pPr>
              <w:pStyle w:val="TableText"/>
              <w:keepN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keepNext/>
            </w:pPr>
            <w:r>
              <w:t xml:space="preserve">Section 3.2</w:t>
            </w:r>
          </w:p>
        </w:tc>
      </w:tr>
      <w:tr>
        <w:trPr>
          <w:cantSplit/>
        </w:trPr>
        <w:tc>
          <w:tcPr>
            <w:tcW w:w="2257" w:type="dxa"/>
            <w:tcBorders>
              <w:bottom w:val="single" w:sz="2" w:space="0" w:color="BFBFBF"/>
            </w:tcBorders>
            <w:vAlign w:val="top"/>
          </w:tcPr>
          <w:p>
            <w:pPr>
              <w:pStyle w:val="TableText"/>
              <w:keepNext/>
            </w:pPr>
            <w:r>
              <w:t xml:space="preserve">Gatekeepers (three, each with a paired match board)</w:t>
            </w:r>
          </w:p>
        </w:tc>
        <w:tc>
          <w:tcPr>
            <w:tcW w:w="5829" w:type="dxa"/>
            <w:tcBorders>
              <w:bottom w:val="single" w:sz="2" w:space="0" w:color="BFBFBF"/>
            </w:tcBorders>
            <w:vAlign w:val="top"/>
          </w:tcPr>
          <w:p>
            <w:pPr>
              <w:pStyle w:val="TableText"/>
              <w:keepN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keepNext/>
            </w:pPr>
            <w:r>
              <w:t xml:space="preserve">Sections 3.3, 3.4</w:t>
            </w:r>
          </w:p>
        </w:tc>
      </w:tr>
      <w:tr>
        <w:trPr>
          <w:cantSplit/>
        </w:trPr>
        <w:tc>
          <w:tcPr>
            <w:tcW w:w="2257" w:type="dxa"/>
            <w:tcBorders>
              <w:bottom w:val="single" w:sz="2" w:space="0" w:color="BFBFBF"/>
            </w:tcBorders>
            <w:vAlign w:val="top"/>
          </w:tcPr>
          <w:p>
            <w:pPr>
              <w:pStyle w:val="TableText"/>
              <w:keepNext/>
            </w:pPr>
            <w:r>
              <w:t xml:space="preserve">Content channel servers (F and I)</w:t>
            </w:r>
          </w:p>
        </w:tc>
        <w:tc>
          <w:tcPr>
            <w:tcW w:w="5829" w:type="dxa"/>
            <w:tcBorders>
              <w:bottom w:val="single" w:sz="2" w:space="0" w:color="BFBFBF"/>
            </w:tcBorders>
            <w:vAlign w:val="top"/>
          </w:tcPr>
          <w:p>
            <w:pPr>
              <w:pStyle w:val="TableText"/>
              <w:keepN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keepN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carries the classes of editing tool it applied and its Deviation Score, the cumulative deviation between the saved output and the predicted result of its declared operations (Section 4.2, R3),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w:t>
      </w:r>
      <w:r>
        <w:t xml:space="preserve">(Section 3.5)</w:t>
      </w:r>
      <w:r>
        <w:t xml:space="preserve"> has no channel through which to learn which algorithm a given device used; a single-use nonce n (at least 128 bits, generated by a cryptographically secure random number generator) the device generates for this submission; </w:t>
      </w:r>
      <w:r>
        <w:t xml:space="preserve">an optional Capture Metadata Hash, h(metadata) (timestamp, location), that enables selective disclosure without revealing values on-chain; and, for an edit, the parent record’s ContentHash.</w:t>
      </w:r>
    </w:p>
    <w:p>
      <w:pPr>
        <w:pStyle w:val="BodyText"/>
      </w:pPr>
      <w:r>
        <w:t xml:space="preserve">The device transmits the content channel to each of the two content channel servers independently, via delivery paths each satisfying R6 (Section 4.2), so that neither content channel server observes the device’s originating network address. Each copy is encrypted under the Channel Key of the server it is addressed to, the same Channel Key scheme that protects the credential channel (below); a passive network observer without that specific server's key sees only ciphertext, not ContentHash or n.</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is computed over everything this channel carries: ContentHash, n, and the optional fields (the Capture Metadata Hash and, for an edit, the parent ContentHash), in a fixed encoding that begins with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and its claim about post-capture processing, encrypted under key material held exclusively by the credential validator); a key reference identifying which Token Key and member list the validator should use;</w:t>
      </w:r>
      <w:r>
        <w:t xml:space="preserve"/>
      </w:r>
      <w:r>
        <w:t xml:space="preserve"> and FullPacketHash = hash(</w:t>
      </w:r>
      <w:r>
        <w:t xml:space="preserve">ContentHash, n, optional fields), included in the clear</w:t>
      </w:r>
      <w:r>
        <w:t xml:space="preserve"> relative to this leg. Neither the token nor FullPacketHash is separately keyed for a specific recipient at this stage; both travel inside the credential packet under the same Channel Key encryption (C-device_pk, C’s Channel Key) every packet addressed to the credential channel server (C) uses, and FullPacketHash becomes visible to C the moment it opens its own envelope. The device transmits the credential channel to C via a delivery path disjoint from the content channel and satisfying the same network-identity requirement: neither a content 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pPr>
      <w:r>
        <w:t xml:space="preserve">C retains FullPacketHash locally and generates a fresh, single-use symmetric key (BlindShare_key) for this transaction only. BlindShare_key lets C share FullPacketHash with the validator without exposing it: the validator never holds it, and C later gives it to the gatekeepers so that they can recompute Enc_FullPacketHash (Section 3.3). It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The token also carries the claim, the device’s statement about post-capture processing: zero for an unedited capture and, for an edit, the classes of editing tool applied and the CMPS’s Deviation Score, the cumulative deviation between the saved output and the predicted result of its declared operations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not a rejection. Only an unregistered credential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already generated and holds; a failed verification means the signature does not belong to this transaction, and the record is rejected.</w:t>
      </w:r>
      <w:r>
        <w:t xml:space="preserve"> This construction keeps FullPacketHash unreadable to the validator without requiring any key to be provisioned in advance: BlindShare_key exists only for the duration of one round trip and belongs to no one but C, which generated it.</w:t>
      </w:r>
    </w:p>
    <w:p>
      <w:pPr>
        <w:pStyle w:val="BodyText"/>
      </w:pPr>
      <w:r>
        <w:t xml:space="preserve">Each of the two content channel servers, having received the content channel directly from the device, independently computes its own candidate FullPacketHash′ = hash(</w:t>
      </w:r>
      <w:r>
        <w:t xml:space="preserve">ContentHash, n, optional fields) and checks it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ever observes the credential channel at all; each only ever sees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fan-out to all three gatekeepers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w:r>
      <w:r>
        <w:t xml:space="preserve">,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that </w:t>
      </w:r>
      <w:r>
        <w:t xml:space="preserve">keeps the first-relay recipients of a submission distinct from one another and its destinations distinct from one another, in which a server that happens to handle packets of more than one path, as an intermediary or as the first relay of one path and the destination of another, cannot tell which of its packets belong to the same submission,</w:t>
      </w:r>
      <w:r>
        <w:t xml:space="preserve"> and in which each channel’s relay terminates the device’s connection and originates a fresh one to the actual destination, </w:t>
      </w:r>
      <w:r>
        <w:t xml:space="preserve">so that neither a content channel server nor C observes the device’s originating address in receiving its own channel.</w:t>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They do not claim information-theoretic resistance to traffic analysis, and they do not foreclose a sufficiently capable adversary’s statistical correlation of timing, volume, or other side-channel information across many observed transactions. Appendix D reports an empirical evaluation of exactly this question. The gatekeeper fan-out (Section 3.3) uses its own, larger size class rather than the common one above,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not only the channel payload itself: such metadata must be encrypted such that only the relay that needs to act on it can read it, never transmitted in the clear alongside an otherwise-opaque payload.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stores, or processes media content at any stage. Once its own check succeeds (Section 3.2), the credential channel server (C) </w:t>
      </w:r>
      <w:r>
        <w:t xml:space="preserve">signs FullPacketHash and the verdict as a member of C-Ring, its eligible candidate pool, using an unlinkable ring signature</w:t>
      </w:r>
      <w:r>
        <w:t xml:space="preserve"> rather than a single, identifiable key, then fans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 not all three.</w:t>
      </w:r>
    </w:p>
    <w:p>
      <w:pPr>
        <w:pStyle w:val="BodyText"/>
      </w:pPr>
      <w:r>
        <w:t xml:space="preserve">Each gatekeeper independently verifies two things before it will act: the validator’s signature, </w:t>
      </w:r>
      <w:r>
        <w:t xml:space="preserve">verified against V-Ring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w:t>
      </w:r>
      <w:r>
        <w:t xml:space="preserve"> </w:t>
      </w:r>
      <w:r>
        <w:t xml:space="preserve">and C’s signature over that same FullPacketHash and verdict,</w:t>
      </w:r>
      <w:r>
        <w:t xml:space="preserve"> verified as belonging to some member of C-Ring rather than against a single, identifiable key. </w:t>
      </w:r>
      <w:r>
        <w:t xml:space="preserve">Without a ring signature, a compromised node’s own</w:t>
      </w:r>
      <w:r>
        <w:t xml:space="preserve"> exact fan-out timing would let it search all registered pool members for the one whose relay timing coincides with its own arrival, recovering C’s identity from timing alone rather than from any decrypted key.</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explicitly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rather than posting immediately,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evaluates the protocol with this hold in place but does not test its removal (Appendix D.5).</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rather than trusting any single board’s report.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Each content channel server, having independently computed its own candidate FullPacketHash′ = hash(</w:t>
      </w:r>
      <w:r>
        <w:t xml:space="preserve">ContentHash, n, optional fields) from the content channel</w:t>
      </w:r>
      <w:r>
        <w:t xml:space="preserve"> it received directly from the device, checks this two-of-three quorum, and if satisfied, signs and submits its own entry, </w:t>
      </w:r>
      <w:r>
        <w:t xml:space="preserve">carrying ContentHash together with the quorum’s verdict and any optional fields the device supplied</w:t>
      </w:r>
      <w:r>
        <w:t xml:space="preserve">, all covered by its signature, to the Birthmark Media Registry using a registry-signing key held only for this purpose, separate from the Channel Key that decrypted its own content channel: no key at either server does both jobs.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 since it cannot produce the other server’s signature. </w:t>
      </w:r>
      <w:r>
        <w:t xml:space="preserve">Together these checks make single-server forgery infeasible at every stage.</w:t>
      </w:r>
      <w:r>
        <w:t xml:space="preserve"> The registry’s write rule additionally collapses duplicate submissions: if a record with the same ContentHash already exists, a new submission attempting to post that hash is recognized against the existing record rather than creating a second entry with a later timestamp.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 </w:t>
      </w:r>
      <w:r>
        <w:t xml:space="preserve">The two servers’ signatures, which the registry checks and then discards, cover the verdict as they cover every other field.</w:t>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The role-aware settings — 240 s on the content channels and on F and I’s own pre-match hold, longer than every other stage — are what the empirical evaluation in Appendix D identifies as the dominant mechanism: without them, a compromised validator leads a passive observer by roughly two points at the primary operating point. No relay carries a role-specific parameter, since a relay cannot determine whether it is on the credential path or a content path from the opaque ciphertext it forwards.</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and every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60 s, an independent draw per leg, so the three legs do not depart together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rather than transmitting immediately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Sixty decoy transactions from registered decoy identities are in flight at all times;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 No subscription, credential, or trusted intermediary is required.</w:t>
      </w:r>
    </w:p>
    <w:p>
      <w:pPr>
        <w:pStyle w:val="BodyText"/>
      </w:pPr>
      <w:r>
        <w:t xml:space="preserve">The registry intentionally</w:t>
      </w:r>
      <w:r>
        <w:t xml:space="preserve"> does not support attribution search, reverse lookup, or photographer enumeration. </w:t>
      </w:r>
      <w:r>
        <w:t xml:space="preserve">A verifier can ask the registry whether an image came from a registered device, but it lacks enough information to answer which one.</w:t>
      </w:r>
    </w:p>
    <w:p>
      <w:pPr>
        <w:pStyle w:val="Heading1"/>
      </w:pPr>
      <w:r>
        <w:rPr>
          <w:b/>
          <w:bCs/>
        </w:rPr>
        <w:t xml:space="preserve">4 THREAT MODEL AND FORMAL PRIVACY PROPERTIES</w:t>
      </w:r>
    </w:p>
    <w:p>
      <w:pPr>
        <w:pStyle w:val="BodyText"/>
      </w:pPr>
      <w: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w:t>
      </w:r>
      <w:r>
        <w:t xml:space="preserve">Channel separation structurally prevents any single component from holding both a device identifier and a ContentHash; 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defeats the guarantee. The architecture treats it as a catastrophic failure rather than assuming it away, and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w:t>
      </w:r>
      <w:r>
        <w:t xml:space="preserve">the credential validator, C, a gatekeeper, a content channel server, or a Registry Node</w:t>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an adversary who observes all traffic between all parties, not merely some links.</w:t>
      </w:r>
      <w:r>
        <w:t xml:space="preserve"> This is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an adversary</w:t>
      </w:r>
      <w:r>
        <w:t xml:space="preserve"> who is global in this sense still needs a candidate content item to check against, needs to know which of potentially several manufacturer validators to target, and, since FullPacketHash is discarded immediately after use, needs to have already been recording validator-adjacent traffic before the submission of interest occurred, not merely to possess global visibility at the time an image later becomes of interest.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them together.</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not to the protocol,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 not a fixed property of this architecture.</w:t>
      </w:r>
    </w:p>
    <w:p>
      <w:pPr>
        <w:pStyle w:val="BodyText"/>
      </w:pPr>
      <w:r>
        <w:t xml:space="preserve">The consequence differs by role. Compromised Registry Nodes learn only what the registry-observer row of Table </w:t>
      </w:r>
      <w:r>
        <w:t xml:space="preserve">4</w:t>
      </w:r>
      <w:r>
        <w:t xml:space="preserve"> already discloses, </w:t>
      </w:r>
      <w:r>
        <w:t xml:space="preserve">ContentHash values, verdicts and coarsened timestamps</w:t>
      </w:r>
      <w:r>
        <w:t xml:space="preserve">. Reaching enough gatekeepers, content channel servers, or the credential channel server to defeat the thresholds of Properties D through I (two of three gatekeepers, both content channel servers, the credential channel server with the validator, or the validator with any one gatekeeper) requires the same spread,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w:t>
      </w:r>
      <w:r>
        <w:t xml:space="preserve">.</w:t>
      </w:r>
    </w:p>
    <w:p>
      <w:pPr>
        <w:pStyle w:val="BodyText"/>
      </w:pPr>
      <w:r>
        <w:rPr>
          <w:b/>
          <w:bCs/>
        </w:rPr>
        <w:t xml:space="preserve">R2: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 channel server individually, against a gatekeeper individually, and </w:t>
      </w:r>
      <w:r>
        <w:t xml:space="preserve">against the credential validator individually</w:t>
      </w:r>
      <w:r>
        <w:t xml:space="preserve">. </w:t>
      </w:r>
      <w:r>
        <w:t xml:space="preserve">Only cross-role compromise could restore correlation.</w:t>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rather than by re-establishing the original device’s Hardware Root of Trust (HRoT), which makes this authentication software-attested rather than HRoT-anchored, weakening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not a rejection.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such that </w:t>
      </w:r>
      <w:r>
        <w:t xml:space="preserve">no single first-relay recipient receives both channels as first relay, no destination receives both channels as destination, and such that no server that handles packets of more than one of the submission’s paths, whether as an intermediary or as the first relay of one path and the destination of another, can identify them as belonging to the same submission,</w:t>
      </w:r>
      <w:r>
        <w:t xml:space="preserve"> and such that neither destination, in the ordinary course of receiving its own channel, learns the device’s real network-layer identity (its source IP address). Recipients are counted by operator: two servers run by the same operator count as one recipient. This is a requirement on the delivery mechanism</w:t>
      </w:r>
      <w:r>
        <w:t xml:space="preserve">, not on the channels’ content: hashing and encryption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 Content hashes are never transmitted to the validator.</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w:t>
      </w:r>
      <w:r>
        <w:t xml:space="preserve">Cred_HW || replay_nonce || claim, V-token_pk)</w:t>
      </w:r>
      <w:r>
        <w:t xml:space="preserve">, where Cred_HW is the hardware credential (a CMPS sends its software credential, Cred_SW, in the same field), replay_nonce is a single-use nonce the validator logs to </w:t>
      </w:r>
      <w:r>
        <w:t xml:space="preserve">detect reuse, claim is the device’s statement about post-capture processing (Section 3.2), and V-token_sk is held exclusively</w:t>
      </w:r>
      <w:r>
        <w:t xml:space="preserve"> by the validator, travels only to C and from there to the validator.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The properties together mean that no single component’s compromise is sufficient for correlation: the credential validator never observes ContentHash or n and, even if compromised, cannot recover FullPacketHash</w:t>
      </w:r>
      <w:r>
        <w:t xml:space="preserve">, since FullPacketHash reaches it only wrapped</w:t>
      </w:r>
      <w:r>
        <w:t xml:space="preserve"> under BlindShare_key, a value C generates fresh per transaction and never shares; C holds FullPacketHash in the clear but never the device token </w:t>
      </w:r>
      <w:r>
        <w:t xml:space="preserve">in a readable form, since it never holds V-token_sk</w:t>
      </w:r>
      <w:r>
        <w:t xml:space="preserve">; a content channel server holds ContentHash and n but </w:t>
      </w:r>
      <w:r>
        <w:t xml:space="preserve">never the credential channel at all; a gatekeeper</w:t>
      </w:r>
      <w:r>
        <w:t xml:space="preserve"> holds FullPacketHash and both signatures </w:t>
      </w:r>
      <w:r>
        <w:t xml:space="preserve">but never the token. The base architecture</w:t>
      </w:r>
      <w:r>
        <w:t xml:space="preserve"> achieves semantic non-assembly at t=1 against an adversary confined to a single component’s stored or in-transit data: </w:t>
      </w:r>
      <w:r>
        <w:t xml:space="preserve">any single-component compromise yields only attribution-surface fragments (confirmed in Appendix A.3).</w:t>
      </w:r>
      <w:r>
        <w:t xml:space="preserve"> A compromised validator also holds the verdict for each submission. The verdict is public, so it narrows the candidate records only as far as it is rare among them (Appendix A.3).</w:t>
      </w:r>
    </w:p>
    <w:p>
      <w:pPr>
        <w:pStyle w:val="BodyText"/>
      </w:pPr>
      <w:r>
        <w:t xml:space="preserve">This guarantee rests on R6, BlindShare_key’s disposability, and the match-board signature check (Section 3.3) together: R6 prevents any single party from holding both channels; </w:t>
      </w:r>
      <w:r>
        <w:t xml:space="preserve">wrapping FullPacketHash under a key only C holds keeps it from the validator</w:t>
      </w:r>
      <w:r>
        <w:t xml:space="preserve">; and the match board’s independent verification prevents anyone, including a compromised credential channel server, from posting a plaintext that does not match what the validator signed.</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that defeats the guarantee (Section 4.1)</w:t>
      </w:r>
      <w:r>
        <w:t xml:space="preserve">; the controls in Section 6.2 exist to prevent it.</w:t>
      </w:r>
    </w:p>
    <w:p>
      <w:pPr>
        <w:pStyle w:val="BodyText"/>
      </w:pPr>
      <w:r>
        <w:t xml:space="preserve">Independence at the component level means the credential validator, C, and each content channel server must not share ownership, legal jurisdiction,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Table </w:t>
      </w:r>
      <w:r>
        <w:t xml:space="preserve">4</w:t>
      </w:r>
      <w:r>
        <w:t xml:space="preserve"> summarizes</w:t>
      </w:r>
      <w:r>
        <w:t xml:space="preserve"> every row of the compromise analysis in one place</w:t>
      </w:r>
      <w:r>
        <w:t xml:space="preserve">: every single-component row ends at a fragment,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884"/>
        <w:gridCol w:w="2260"/>
        <w:gridCol w:w="3025"/>
        <w:gridCol w:w="2190"/>
      </w:tblGrid>
      <w:tr>
        <w:trPr>
          <w:cantSplit/>
          <w:tblHeader w:val="true"/>
        </w:trPr>
        <w:tc>
          <w:tcPr>
            <w:tcW w:w="1884" w:type="dxa"/>
            <w:tcBorders>
              <w:top w:val="single" w:sz="12" w:space="0" w:color="000000"/>
              <w:bottom w:val="single" w:sz="6" w:space="0" w:color="000000"/>
            </w:tcBorders>
            <w:vAlign w:val="bottom"/>
          </w:tcPr>
          <w:p>
            <w:pPr>
              <w:pStyle w:val="TableText"/>
            </w:pPr>
            <w:r>
              <w:rPr>
                <w:b/>
              </w:rPr>
              <w:t xml:space="preserve">Party / vantage point</w:t>
            </w:r>
          </w:p>
        </w:tc>
        <w:tc>
          <w:tcPr>
            <w:tcW w:w="2260" w:type="dxa"/>
            <w:tcBorders>
              <w:top w:val="single" w:sz="12" w:space="0" w:color="000000"/>
              <w:bottom w:val="single" w:sz="6" w:space="0" w:color="000000"/>
            </w:tcBorders>
            <w:vAlign w:val="bottom"/>
          </w:tcPr>
          <w:p>
            <w:pPr>
              <w:pStyle w:val="TableText"/>
            </w:pPr>
            <w:r>
              <w:rPr>
                <w:b/>
              </w:rPr>
              <w:t xml:space="preserve">Reveals</w:t>
            </w:r>
          </w:p>
        </w:tc>
        <w:tc>
          <w:tcPr>
            <w:tcW w:w="3025" w:type="dxa"/>
            <w:tcBorders>
              <w:top w:val="single" w:sz="12" w:space="0" w:color="000000"/>
              <w:bottom w:val="single" w:sz="6" w:space="0" w:color="000000"/>
            </w:tcBorders>
            <w:vAlign w:val="bottom"/>
          </w:tcPr>
          <w:p>
            <w:pPr>
              <w:pStyle w:val="TableText"/>
            </w:pPr>
            <w:r>
              <w:rPr>
                <w:b/>
              </w:rPr>
              <w:t xml:space="preserve">Cannot determine</w:t>
            </w:r>
          </w:p>
        </w:tc>
        <w:tc>
          <w:tcPr>
            <w:tcW w:w="2190" w:type="dxa"/>
            <w:tcBorders>
              <w:top w:val="single" w:sz="12" w:space="0" w:color="000000"/>
              <w:bottom w:val="single" w:sz="6" w:space="0" w:color="000000"/>
            </w:tcBorders>
            <w:vAlign w:val="bottom"/>
          </w:tcPr>
          <w:p>
            <w:pPr>
              <w:pStyle w:val="TableText"/>
            </w:pPr>
            <w:r>
              <w:rPr>
                <w:b/>
              </w:rPr>
              <w:t xml:space="preserve">Formal basis</w:t>
            </w:r>
          </w:p>
        </w:tc>
      </w:tr>
      <w:tr>
        <w:trPr>
          <w:cantSplit/>
        </w:trPr>
        <w:tc>
          <w:tcPr>
            <w:tcW w:w="1884" w:type="dxa"/>
            <w:tcBorders>
              <w:bottom w:val="single" w:sz="2" w:space="0" w:color="BFBFBF"/>
            </w:tcBorders>
            <w:vAlign w:val="top"/>
          </w:tcPr>
          <w:p>
            <w:pPr>
              <w:pStyle w:val="TableText"/>
            </w:pPr>
            <w:r>
              <w:t xml:space="preserve">Registry observer (public, no compromise)</w:t>
            </w:r>
          </w:p>
        </w:tc>
        <w:tc>
          <w:tcPr>
            <w:tcW w:w="2260" w:type="dxa"/>
            <w:tcBorders>
              <w:bottom w:val="single" w:sz="2" w:space="0" w:color="BFBFBF"/>
            </w:tcBorders>
            <w:vAlign w:val="top"/>
          </w:tcPr>
          <w:p>
            <w:pPr>
              <w:pStyle w:val="TableText"/>
            </w:pPr>
            <w:r>
              <w:t xml:space="preserve">Content hashes; verdicts; timestamps</w:t>
            </w:r>
          </w:p>
        </w:tc>
        <w:tc>
          <w:tcPr>
            <w:tcW w:w="3025" w:type="dxa"/>
            <w:tcBorders>
              <w:bottom w:val="single" w:sz="2" w:space="0" w:color="BFBFBF"/>
            </w:tcBorders>
            <w:vAlign w:val="top"/>
          </w:tcPr>
          <w:p>
            <w:pPr>
              <w:pStyle w:val="TableText"/>
            </w:pPr>
            <w:r>
              <w:t xml:space="preserve">Which device produced which content</w:t>
            </w:r>
          </w:p>
        </w:tc>
        <w:tc>
          <w:tcPr>
            <w:tcW w:w="2190" w:type="dxa"/>
            <w:tcBorders>
              <w:bottom w:val="single" w:sz="2" w:space="0" w:color="BFBFBF"/>
            </w:tcBorders>
            <w:vAlign w:val="top"/>
          </w:tcPr>
          <w:p>
            <w:pPr>
              <w:pStyle w:val="TableText"/>
            </w:pPr>
            <w:r>
              <w:t xml:space="preserve">Property B</w:t>
            </w:r>
          </w:p>
        </w:tc>
      </w:tr>
      <w:tr>
        <w:trPr>
          <w:cantSplit/>
        </w:trPr>
        <w:tc>
          <w:tcPr>
            <w:tcW w:w="1884" w:type="dxa"/>
            <w:tcBorders>
              <w:bottom w:val="single" w:sz="2" w:space="0" w:color="BFBFBF"/>
            </w:tcBorders>
            <w:vAlign w:val="top"/>
          </w:tcPr>
          <w:p>
            <w:pPr>
              <w:pStyle w:val="TableText"/>
            </w:pPr>
            <w:r>
              <w:t xml:space="preserve">Credential channel server compromised alone</w:t>
            </w:r>
          </w:p>
        </w:tc>
        <w:tc>
          <w:tcPr>
            <w:tcW w:w="226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25" w:type="dxa"/>
            <w:tcBorders>
              <w:bottom w:val="single" w:sz="2" w:space="0" w:color="BFBFBF"/>
            </w:tcBorders>
            <w:vAlign w:val="top"/>
          </w:tcPr>
          <w:p>
            <w:pPr>
              <w:pStyle w:val="TableText"/>
            </w:pPr>
            <w:r>
              <w:t xml:space="preserve">device_id, since the token stays encrypted regardless</w:t>
            </w:r>
          </w:p>
        </w:tc>
        <w:tc>
          <w:tcPr>
            <w:tcW w:w="2190" w:type="dxa"/>
            <w:tcBorders>
              <w:bottom w:val="single" w:sz="2" w:space="0" w:color="BFBFBF"/>
            </w:tcBorders>
            <w:vAlign w:val="top"/>
          </w:tcPr>
          <w:p>
            <w:pPr>
              <w:pStyle w:val="TableText"/>
            </w:pPr>
            <w:r>
              <w:t xml:space="preserve">Property D</w:t>
            </w:r>
          </w:p>
        </w:tc>
      </w:tr>
      <w:tr>
        <w:trPr>
          <w:cantSplit/>
        </w:trPr>
        <w:tc>
          <w:tcPr>
            <w:tcW w:w="1884" w:type="dxa"/>
            <w:tcBorders>
              <w:bottom w:val="single" w:sz="2" w:space="0" w:color="BFBFBF"/>
            </w:tcBorders>
            <w:vAlign w:val="top"/>
          </w:tcPr>
          <w:p>
            <w:pPr>
              <w:pStyle w:val="TableText"/>
            </w:pPr>
            <w:r>
              <w:t xml:space="preserve">Content channel server (F or I) compromised alone</w:t>
            </w:r>
          </w:p>
        </w:tc>
        <w:tc>
          <w:tcPr>
            <w:tcW w:w="226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25" w:type="dxa"/>
            <w:tcBorders>
              <w:bottom w:val="single" w:sz="2" w:space="0" w:color="BFBFBF"/>
            </w:tcBorders>
            <w:vAlign w:val="top"/>
          </w:tcPr>
          <w:p>
            <w:pPr>
              <w:pStyle w:val="TableText"/>
            </w:pPr>
            <w:r>
              <w:t xml:space="preserve">device_id, since it never receives the credential channel at all</w:t>
            </w:r>
          </w:p>
        </w:tc>
        <w:tc>
          <w:tcPr>
            <w:tcW w:w="2190" w:type="dxa"/>
            <w:tcBorders>
              <w:bottom w:val="single" w:sz="2" w:space="0" w:color="BFBFBF"/>
            </w:tcBorders>
            <w:vAlign w:val="top"/>
          </w:tcPr>
          <w:p>
            <w:pPr>
              <w:pStyle w:val="TableText"/>
            </w:pPr>
            <w:r>
              <w:t xml:space="preserve">Property F</w:t>
            </w:r>
          </w:p>
        </w:tc>
      </w:tr>
      <w:tr>
        <w:trPr>
          <w:cantSplit/>
        </w:trPr>
        <w:tc>
          <w:tcPr>
            <w:tcW w:w="1884" w:type="dxa"/>
            <w:tcBorders>
              <w:bottom w:val="single" w:sz="2" w:space="0" w:color="BFBFBF"/>
            </w:tcBorders>
            <w:vAlign w:val="top"/>
          </w:tcPr>
          <w:p>
            <w:pPr>
              <w:pStyle w:val="TableText"/>
            </w:pPr>
            <w:r>
              <w:t xml:space="preserve">Gatekeeper compromised alone</w:t>
            </w:r>
          </w:p>
        </w:tc>
        <w:tc>
          <w:tcPr>
            <w:tcW w:w="226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25"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90" w:type="dxa"/>
            <w:tcBorders>
              <w:bottom w:val="single" w:sz="2" w:space="0" w:color="BFBFBF"/>
            </w:tcBorders>
            <w:vAlign w:val="top"/>
          </w:tcPr>
          <w:p>
            <w:pPr>
              <w:pStyle w:val="TableText"/>
            </w:pPr>
            <w:r>
              <w:t xml:space="preserve">Property J</w:t>
            </w:r>
          </w:p>
        </w:tc>
      </w:tr>
      <w:tr>
        <w:trPr>
          <w:cantSplit/>
        </w:trPr>
        <w:tc>
          <w:tcPr>
            <w:tcW w:w="1884" w:type="dxa"/>
            <w:tcBorders>
              <w:bottom w:val="single" w:sz="2" w:space="0" w:color="BFBFBF"/>
            </w:tcBorders>
            <w:vAlign w:val="top"/>
          </w:tcPr>
          <w:p>
            <w:pPr>
              <w:pStyle w:val="TableText"/>
            </w:pPr>
            <w:r>
              <w:t xml:space="preserve">Match board</w:t>
            </w:r>
          </w:p>
        </w:tc>
        <w:tc>
          <w:tcPr>
            <w:tcW w:w="226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25"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90" w:type="dxa"/>
            <w:tcBorders>
              <w:bottom w:val="single" w:sz="2" w:space="0" w:color="BFBFBF"/>
            </w:tcBorders>
            <w:vAlign w:val="top"/>
          </w:tcPr>
          <w:p>
            <w:pPr>
              <w:pStyle w:val="TableText"/>
            </w:pPr>
            <w:r>
              <w:t xml:space="preserve">Follows from the Gatekeeper compromised alone row</w:t>
            </w:r>
          </w:p>
        </w:tc>
      </w:tr>
      <w:tr>
        <w:trPr>
          <w:cantSplit/>
        </w:trPr>
        <w:tc>
          <w:tcPr>
            <w:tcW w:w="1884" w:type="dxa"/>
            <w:tcBorders>
              <w:bottom w:val="single" w:sz="2" w:space="0" w:color="BFBFBF"/>
            </w:tcBorders>
            <w:vAlign w:val="top"/>
          </w:tcPr>
          <w:p>
            <w:pPr>
              <w:pStyle w:val="TableText"/>
            </w:pPr>
            <w:r>
              <w:t xml:space="preserve">Zero-compromise global network observer</w:t>
            </w:r>
          </w:p>
        </w:tc>
        <w:tc>
          <w:tcPr>
            <w:tcW w:w="226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25"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90" w:type="dxa"/>
            <w:tcBorders>
              <w:bottom w:val="single" w:sz="2" w:space="0" w:color="BFBFBF"/>
            </w:tcBorders>
            <w:vAlign w:val="top"/>
          </w:tcPr>
          <w:p>
            <w:pPr>
              <w:pStyle w:val="TableText"/>
            </w:pPr>
            <w:r>
              <w:t xml:space="preserve">Properties A, D, E, F</w:t>
            </w:r>
            <w:r>
              <w:t xml:space="preserve">; Section 3.2</w:t>
            </w:r>
          </w:p>
        </w:tc>
      </w:tr>
      <w:tr>
        <w:trPr>
          <w:cantSplit/>
        </w:trPr>
        <w:tc>
          <w:tcPr>
            <w:tcW w:w="1884" w:type="dxa"/>
            <w:tcBorders>
              <w:bottom w:val="single" w:sz="2" w:space="0" w:color="BFBFBF"/>
            </w:tcBorders>
            <w:vAlign w:val="top"/>
          </w:tcPr>
          <w:p>
            <w:pPr>
              <w:pStyle w:val="TableText"/>
            </w:pPr>
            <w:r>
              <w:t xml:space="preserve">Credential validator (compromised)</w:t>
            </w:r>
          </w:p>
        </w:tc>
        <w:tc>
          <w:tcPr>
            <w:tcW w:w="2260" w:type="dxa"/>
            <w:tcBorders>
              <w:bottom w:val="single" w:sz="2" w:space="0" w:color="BFBFBF"/>
            </w:tcBorders>
            <w:vAlign w:val="top"/>
          </w:tcPr>
          <w:p>
            <w:pPr>
              <w:pStyle w:val="TableText"/>
            </w:pPr>
            <w:r>
              <w:t xml:space="preserve">Device identity (via decryption); the device’s claim and the verdict it issues;</w:t>
            </w:r>
            <w:r>
              <w:t xml:space="preserve"> an opaque, undecryptable blob (Enc_FullPacketHash, still wrapped under BlindShare_key)</w:t>
            </w:r>
          </w:p>
        </w:tc>
        <w:tc>
          <w:tcPr>
            <w:tcW w:w="3025"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90" w:type="dxa"/>
            <w:tcBorders>
              <w:bottom w:val="single" w:sz="2" w:space="0" w:color="BFBFBF"/>
            </w:tcBorders>
            <w:vAlign w:val="top"/>
          </w:tcPr>
          <w:p>
            <w:pPr>
              <w:pStyle w:val="TableText"/>
            </w:pPr>
            <w:r>
              <w:t xml:space="preserve">Property E</w:t>
            </w:r>
          </w:p>
        </w:tc>
      </w:tr>
      <w:tr>
        <w:trPr>
          <w:cantSplit/>
        </w:trPr>
        <w:tc>
          <w:tcPr>
            <w:tcW w:w="1884" w:type="dxa"/>
            <w:tcBorders>
              <w:bottom w:val="single" w:sz="2" w:space="0" w:color="BFBFBF"/>
            </w:tcBorders>
            <w:vAlign w:val="top"/>
          </w:tcPr>
          <w:p>
            <w:pPr>
              <w:pStyle w:val="TableText"/>
            </w:pPr>
            <w:r>
              <w:t xml:space="preserve">Validator and the credential channel server, both compromised</w:t>
            </w:r>
          </w:p>
        </w:tc>
        <w:tc>
          <w:tcPr>
            <w:tcW w:w="2260" w:type="dxa"/>
            <w:tcBorders>
              <w:bottom w:val="single" w:sz="2" w:space="0" w:color="BFBFBF"/>
            </w:tcBorders>
            <w:vAlign w:val="top"/>
          </w:tcPr>
          <w:p>
            <w:pPr>
              <w:pStyle w:val="TableText"/>
            </w:pPr>
            <w:r>
              <w:t xml:space="preserve">Device identity and FullPacketHash together, linkable</w:t>
            </w:r>
          </w:p>
        </w:tc>
        <w:tc>
          <w:tcPr>
            <w:tcW w:w="3025" w:type="dxa"/>
            <w:tcBorders>
              <w:bottom w:val="single" w:sz="2" w:space="0" w:color="BFBFBF"/>
            </w:tcBorders>
            <w:vAlign w:val="top"/>
          </w:tcPr>
          <w:p>
            <w:pPr>
              <w:pStyle w:val="TableText"/>
            </w:pPr>
            <w:r>
              <w:t xml:space="preserve">Nothing</w:t>
            </w:r>
          </w:p>
        </w:tc>
        <w:tc>
          <w:tcPr>
            <w:tcW w:w="219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884" w:type="dxa"/>
            <w:tcBorders>
              <w:bottom w:val="single" w:sz="12" w:space="0" w:color="000000"/>
            </w:tcBorders>
            <w:vAlign w:val="top"/>
          </w:tcPr>
          <w:p>
            <w:pPr>
              <w:pStyle w:val="TableText"/>
            </w:pPr>
            <w:r>
              <w:t xml:space="preserve">Validator and any one gatekeeper, both compromised</w:t>
            </w:r>
          </w:p>
        </w:tc>
        <w:tc>
          <w:tcPr>
            <w:tcW w:w="2260" w:type="dxa"/>
            <w:tcBorders>
              <w:bottom w:val="single" w:sz="12" w:space="0" w:color="000000"/>
            </w:tcBorders>
            <w:vAlign w:val="top"/>
          </w:tcPr>
          <w:p>
            <w:pPr>
              <w:pStyle w:val="TableText"/>
            </w:pPr>
            <w:r>
              <w:t xml:space="preserve">Device identity and FullPacketHash together, linkable</w:t>
            </w:r>
          </w:p>
        </w:tc>
        <w:tc>
          <w:tcPr>
            <w:tcW w:w="3025" w:type="dxa"/>
            <w:tcBorders>
              <w:bottom w:val="single" w:sz="12" w:space="0" w:color="000000"/>
            </w:tcBorders>
            <w:vAlign w:val="top"/>
          </w:tcPr>
          <w:p>
            <w:pPr>
              <w:pStyle w:val="TableText"/>
            </w:pPr>
            <w:r>
              <w:t xml:space="preserve">Nothing</w:t>
            </w:r>
          </w:p>
        </w:tc>
        <w:tc>
          <w:tcPr>
            <w:tcW w:w="219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The blinded-key construction has not been reviewed by a cryptographer, and the claim that a table holder cannot tie a blinded key to its destination is conditional on that review.</w:t>
      </w:r>
      <w:r>
        <w:t xml:space="preserve"/>
      </w:r>
    </w:p>
    <w:p>
      <w:pPr>
        <w:pStyle w:val="BodyText"/>
      </w:pPr>
      <w:r>
        <w:t xml:space="preserve">The architecture’s governance instantiation is provided by journalism organizations, fact-checking networks, and press freedom advocates operating under the anti-concentration controls described in Section 6.2.</w:t>
      </w:r>
    </w:p>
    <w:p>
      <w:pPr>
        <w:pStyle w:val="BodyText"/>
      </w:pPr>
      <w:r>
        <w:t xml:space="preserve">Viability on constrained hardware follows from the protocol’s computational requirements. Published benchmarks (Appendix B) indicate that device-side operations require only</w:t>
      </w:r>
      <w:r>
        <w:t xml:space="preserve"> ECIES encryption, AES-256-GCM, and SHA-256, primitives available on virtually all modern embedded processors</w:t>
      </w:r>
      <w:r>
        <w:t xml:space="preserve">, which avoids the zero-knowledge proof generation that is computationally infeasible on this hardware (Section 6.1)</w:t>
      </w:r>
      <w:r>
        <w:t xml:space="preserve">.</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are the wrong tool for that job.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w:t>
      </w:r>
    </w:p>
    <w:p>
      <w:pPr>
        <w:pStyle w:val="BodyText"/>
      </w:pPr>
      <w:r>
        <w:t xml:space="preserve">ZK-proof-based device authentication provides membership-proof guarantees without any credential validator at all, avoiding the coordinated-compromise requirement this architecture still carries</w:t>
      </w:r>
      <w:r>
        <w:t xml:space="preserve">. ZK systems carry computational hardness assumptions, trusted-setup requirements, and proof-generation implementation complexity on constrained hardware in exchange.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and AES-256-GCM for the token and the credential packet, several orders of magnitude faster than ZK’s proof-generation overhead. Hashing the media content itself is this architecture’s larger, unavoidable cost, roughly 430–600 ms for a representative RAW file on the same conservative embedded baseline (Appendix B). If a zero-knowledge design must also prove the hash of the media inside the circuit, the cost is higher still. Bünz, Rothblum, and Wang’s Flock system [19], the fastest SHA-256-proving result we are aware of, takes on the order of 11 seconds for a comparably sized file on a single core of an Apple M4 Max, a desktop-class processor no camera has; Flock does not yet provide zero-knowledge, and Binius64, the prior state of the art that does, takes about 94 seconds on the same core [19]. Compared with ZK’s best case, this architecture’s worst case remains orders of magnitude faster (Table A.3).</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treats this explicitly: the consortium governance layer provides continuous public auditability of constraint satisfaction, so any degradation of structural independence </w:t>
      </w:r>
      <w:r>
        <w:t xml:space="preserve">can be detected</w:t>
      </w:r>
      <w:r>
        <w:t xml:space="preserve"> through the public audit record before it becomes exploitable</w:t>
      </w:r>
      <w:r>
        <w:t xml:space="preserve">. This is a detection opportunity, not a detection guarantee or a cryptographic one: </w:t>
      </w:r>
      <w:r>
        <w:t xml:space="preserve">an adversary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t>
      </w:r>
      <w:r>
        <w:t xml:space="preserve">(per the separate governance charter)</w:t>
      </w:r>
      <w:r>
        <w:t xml:space="preserve">, with related entities treated as a single governance actor for ownership-limit purposes.</w:t>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rather than a blanket scan, since only the original n makes a specific FullPacketHash identifiable; it is a detective control confirming the discard requirement after the fact, not a preventive one that stops retention from happening.</w:t>
      </w:r>
    </w:p>
    <w:p>
      <w:pPr>
        <w:pStyle w:val="BodyText"/>
      </w:pPr>
      <w:r>
        <w:t xml:space="preserve">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empirical, not formally verified.</w:t>
      </w:r>
      <w:r>
        <w:t xml:space="preserve"> Appendix D reports an empirical evaluation against all seven vantage points the adversary model defines: a passive network observer holding no keys, and each single-component adversary holding its own legitimate keys and exact internal event timing simultaneously. </w:t>
      </w:r>
      <w:r>
        <w:t xml:space="preserve">At every tested volume, from the primary operating point (R = 1 real transaction in flight, 60 decoys) to R = 100, </w:t>
      </w:r>
      <w:r>
        <w:t xml:space="preserve">no compromised component’s point estimate exceeds the passive observer’s by more than a quarter of a point, a margin we treat as effectively indistinguishable from it.</w:t>
      </w:r>
      <w:r>
        <w:t xml:space="preserve"> </w:t>
      </w:r>
      <w:r>
        <w:t xml:space="preserve">All components become less accurate in absolute terms as real traffic grows, and each remains about 4 to 5 times as accurate as a guess among the devices that could have produced the record. </w:t>
      </w:r>
      <w:r>
        <w:t xml:space="preserve">The largest lead is the content channel server’s at N_real = 100 (+0.24 points, 95% interval +0.18 to +0.30; Appendix D). The upper end of that interval is 0.30, so a quarter of a point describes point estimates and is not a bound.</w:t>
      </w:r>
      <w:r>
        <w:t xml:space="preserve"> No component can identify which of its guesses are correct at any tested volume: the precision of every component’s most-confident 1 % of guesses stays below 50 %, and fewer than 0.1 % of any component’s guesses fall in a group that is right more than half the time. This is a statistical measurement of a simulated implementation and carries less certainty than the ProVerif results in Appendix A.</w:t>
      </w:r>
    </w:p>
    <w:p>
      <w:pPr>
        <w:pStyle w:val="BodyText"/>
      </w:pPr>
      <w:r>
        <w:rPr>
          <w:b/>
          <w:bCs/>
        </w:rPr>
        <w:t xml:space="preserve">Scope: hardware provenance only.</w:t>
      </w:r>
      <w:r>
        <w:t xml:space="preserve"> </w:t>
      </w:r>
      <w:r>
        <w:t xml:space="preserve">Records confirm only that content originated from a registered device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not in place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not the full population of registered devices across every manufacturer.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 destination.</w:t>
      </w:r>
      <w:r>
        <w:t xml:space="preserve"> It does not learn </w:t>
      </w:r>
      <w:r>
        <w:t xml:space="preserve">the destination’s identity, because the device encrypts to a key blinded for that line, which cannot be tied to the destination without solving a decisional Diffie-Hellman problem.</w:t>
      </w:r>
      <w:r>
        <w:t xml:space="preserve"> That claim is conditional on a cryptographer’s review of the construction, which has not been done.</w:t>
      </w:r>
      <w:r>
        <w:t xml:space="preserve"> It also cannot tell whether a packet is a credential packet or a content packet.</w:t>
      </w:r>
      <w:r>
        <w:t xml:space="preserve"> </w:t>
      </w:r>
      <w:r>
        <w:t xml:space="preserve">If one tag’s destination is learned by other means</w:t>
      </w:r>
      <w:r>
        <w:t xml:space="preserve">, such as a colluding second relay, every tag that shares its pseudonym resolves for that generation.</w:t>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in a simple model with 8 equal tags, a first relay named the validator’s tag 51% of the time after 100 packets from one device and 99.7% after 1,000, against 12.5% by chance.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not by the architecture.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BodyText"/>
      </w:pPr>
      <w:r>
        <w:rPr>
          <w:b/>
          <w:bCs/>
        </w:rPr>
        <w:t xml:space="preserve">ContentHash collision.</w:t>
      </w:r>
      <w:r>
        <w:t xml:space="preserve"> </w:t>
      </w:r>
      <w:r>
        <w:t xml:space="preserve">Verification records are bound to ContentHash values, not content. At realistic submission volumes (10^9 per day), accidental SHA-256 collisions are negligible, and constructing a coherent image that collides with a target hash is computationally infeasible and outside the defined adversary model.</w:t>
      </w:r>
    </w:p>
    <w:p>
      <w:pPr>
        <w:pStyle w:val="BodyText"/>
      </w:pPr>
      <w:r>
        <w:rPr>
          <w:b/>
          <w:bCs/>
        </w:rPr>
        <w:t xml:space="preserve">Hardware assumptions.</w:t>
      </w:r>
      <w:r>
        <w:t xml:space="preserve"> Hardware credentials depend on secure-element integrity (A_HW, Section 4.1); </w:t>
      </w:r>
      <w:r>
        <w:t xml:space="preserve">the picture may change</w:t>
      </w:r>
      <w:r>
        <w:t xml:space="preserve"> as hardware attack techniques evolve.</w:t>
      </w:r>
    </w:p>
    <w:p>
      <w:pPr>
        <w:pStyle w:val="BodyText"/>
      </w:pPr>
      <w:r>
        <w:rPr>
          <w:b/>
          <w:bCs/>
        </w:rPr>
        <w:t xml:space="preserve">Data classification under GDPR.</w:t>
      </w:r>
      <w:r>
        <w:t xml:space="preserve"> </w:t>
      </w:r>
      <w:r>
        <w:t xml:space="preserve">The registry holds only ContentHash values and coarsened timestamps, and no component retains device identifiers or photographer identity. A ContentHash of a photograph of an identifiable individual may still constitute personal data under GDPR Article 4(1) in the hands of a party that holds the underlying media. Whether it does is a deployment-specific legal question outside the scope of this paper.</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wherever a target identification function is authorized but must not be passively available.</w:t>
      </w:r>
    </w:p>
    <w:p>
      <w:pPr>
        <w:pStyle w:val="BodyText"/>
      </w:pPr>
      <w:r>
        <w:t xml:space="preserve">The architecture establishes three tiers of claim. First, no component ever holds sufficient information to correlate a device to content, and the system never holds media content at any stage; bulk attribution or photographer enumeration across many devices or many pieces of content therefore remains structurally hard even under full operator collusion, because every correlation starts from a specific candidate image already in hand.</w:t>
      </w:r>
      <w:r>
        <w:t xml:space="preserve"> Second, targeted correlation of one already-possessed image to its originating device is prevented against the compromise of any single component (the credential validator, C, a gatekeeper, or either content channel server), confirmed in Appendix A.3.</w:t>
      </w:r>
      <w:r>
        <w:t xml:space="preserve"> Third, coordinated compromise of the validator together with C, or with any one gatekeeper, defeats the guarantee. The structural difficulty of bulk attribution limits the damage of such a compromise, but it is not a reason to tolerate one (Section 4.6).</w:t>
      </w:r>
    </w:p>
    <w:p>
      <w:pPr>
        <w:pStyle w:val="BodyText"/>
      </w:pPr>
      <w:r>
        <w:t xml:space="preserve">The proofs do not model timing or packet size, so Appendix D evaluates traffic analysis empirically, in simulation. At every tested volume, </w:t>
      </w:r>
      <w:r>
        <w:t xml:space="preserve">no compromised component’s point estimate exceeds a passive observer’s by more than a quarter of a point,</w:t>
      </w:r>
      <w:r>
        <w:t xml:space="preserve"> and none can tell which of its guesses are correct; the largest lead is the content channel server’s, </w:t>
      </w:r>
      <w:r>
        <w:t xml:space="preserve">+0.24 points at 100 real transactions in flight (95% interval +0.18 to +0.30).</w:t>
      </w:r>
      <w:r>
        <w:t xml:space="preserve"> This is a statistical measurement of a simulated implementation and carries less certainty than the ProVerif results.</w:t>
      </w:r>
    </w:p>
    <w:p>
      <w:pPr>
        <w:pStyle w:val="BodyText"/>
      </w:pPr>
      <w:r>
        <w:t xml:space="preserve">Viability on constrained hardware follows from the protocol’s computational requirements: device-side operations require only lightweight, standard cryptographic primitives, and their cost, estimated from published benchmarks (Appendix B), is within the range of commodity embedded processors, where zero-knowledge proof generation is computationally infeasible.</w:t>
      </w:r>
      <w:r>
        <w:t xml:space="preserve"> A reference instantiation (the Birthmark Standard) demonstrates governance by journalism organizations operating on commodity hardware at low per-node cost. The specification and reference implementation are published under Apache 2.0.</w:t>
      </w:r>
    </w:p>
    <w:p>
      <w:pPr>
        <w:pStyle w:val="BodyText"/>
      </w:pPr>
      <w:r>
        <w:t xml:space="preserve">Components will be compromised. In our simulated evaluation at the primary operating point, a compromised component named the originating device no measurably more often than an outside observer holding no keys.</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used Anthropic’s Claude Sonnet 4.6, 5.0 and 5.5, and Claude Opus 5.5 while preparing this work. The models assisted with drafting and revising the manuscript text; with writing and revising the ProVerif models and the simulation code; and with checking the manuscript for internal consistency and checking its references. The author designed the protocol, made all design decisions, reviewed all model output, and is responsible for the content of this paper.</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nine models, their twins and a pipeline-liveness model is maintained at</w:t>
      </w:r>
      <w:r>
        <w:t xml:space="preserve"> https://github.com/Birthmark-Standard/Protocol; this appendix states what each model tests and its confirmed result, not the executable source itself. </w:t>
      </w:r>
      <w:r>
        <w:t xml:space="preserve">Nine models establish ten properties: Properties A and E share two models, Properties C and F share one, and Properties G and I share two (Table A.1).</w:t>
      </w:r>
      <w:r>
        <w:t xml:space="preserve"> ProVerif identifiers cannot contain hyphens, so the models write the paper’s terms in lowercase: fullpackethash and blindshare_key; v_token and v_sign for the validator’s token-decryption and signing keys; c_device for C’s Channel Key; f_device and i_device for a content channel server’s Channel Key; f_id and i_id for its separate registry-signing key; and g1 and g1_sign for a gatekeeper’s Server Transit Key and countersignature key (each with a _pk or _sk suffix).</w:t>
      </w:r>
    </w:p>
    <w:p>
      <w:pPr>
        <w:pStyle w:val="BodyText"/>
      </w:pPr>
      <w:r>
        <w:t xml:space="preserve">The ProVerif models capture the core separation property: the device sends the content channel to the content channel servers and the credential channel to C, as disjoint, independently-encrypted transmissions; C forwards Enc_FullPacketHash to the validator and </w:t>
      </w:r>
      <w:r>
        <w:t xml:space="preserve">receives back a verdict with a signature over the verdict and that still-blinded value. C then signs the FullPacketHash and the verdict, and sends both signatures to the gatekeepers, which check them and post to their own boards. Each content channel server independently recomputes its own candidate FullPacketHash, optional fields included, checks it against the quorum of boards, and signs its registry entry once the quorum agrees.</w:t>
      </w:r>
      <w:r>
        <w:t xml:space="preserve"> The models omit optional implementation details such as timestamp rounding and Token Key selection</w:t>
      </w:r>
      <w:r>
        <w:t xml:space="preserve">.</w:t>
      </w:r>
      <w:r>
        <w:t xml:space="preserve"> Three rules govern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BodyText"/>
      </w:pPr>
      <w:r>
        <w:t xml:space="preserve">Table A.1 summarizes the ten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00"/>
        <w:gridCol w:w="3450"/>
        <w:gridCol w:w="1450"/>
        <w:gridCol w:w="3360"/>
      </w:tblGrid>
      <w:tr>
        <w:trPr>
          <w:cantSplit/>
          <w:tblHeader w:val="true"/>
        </w:trPr>
        <w:tc>
          <w:tcPr>
            <w:tcW w:w="1100" w:type="dxa"/>
            <w:tcBorders>
              <w:top w:val="single" w:sz="12" w:space="0" w:color="000000"/>
              <w:bottom w:val="single" w:sz="6" w:space="0" w:color="000000"/>
            </w:tcBorders>
            <w:vAlign w:val="bottom"/>
          </w:tcPr>
          <w:p>
            <w:pPr>
              <w:pStyle w:val="TableText"/>
            </w:pPr>
            <w:r>
              <w:rPr>
                <w:b/>
                <w:bCs/>
              </w:rPr>
              <w:t xml:space="preserve">Property</w:t>
            </w:r>
          </w:p>
        </w:tc>
        <w:tc>
          <w:tcPr>
            <w:tcW w:w="3450" w:type="dxa"/>
            <w:tcBorders>
              <w:top w:val="single" w:sz="12" w:space="0" w:color="000000"/>
              <w:bottom w:val="single" w:sz="6" w:space="0" w:color="000000"/>
            </w:tcBorders>
            <w:vAlign w:val="bottom"/>
          </w:tcPr>
          <w:p>
            <w:pPr>
              <w:pStyle w:val="TableText"/>
            </w:pPr>
            <w:r>
              <w:rPr>
                <w:b/>
                <w:bCs/>
              </w:rPr>
              <w:t xml:space="preserve">Model</w:t>
            </w:r>
          </w:p>
        </w:tc>
        <w:tc>
          <w:tcPr>
            <w:tcW w:w="1450" w:type="dxa"/>
            <w:tcBorders>
              <w:top w:val="single" w:sz="12" w:space="0" w:color="000000"/>
              <w:bottom w:val="single" w:sz="6" w:space="0" w:color="000000"/>
            </w:tcBorders>
            <w:vAlign w:val="bottom"/>
          </w:tcPr>
          <w:p>
            <w:pPr>
              <w:pStyle w:val="TableText"/>
            </w:pPr>
            <w:r>
              <w:rPr>
                <w:b/>
                <w:bCs/>
              </w:rPr>
              <w:t xml:space="preserve">Technique</w:t>
            </w:r>
          </w:p>
        </w:tc>
        <w:tc>
          <w:tcPr>
            <w:tcW w:w="336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100" w:type="dxa"/>
            <w:tcBorders>
              <w:bottom w:val="single" w:sz="2" w:space="0" w:color="BFBFBF"/>
            </w:tcBorders>
            <w:vAlign w:val="top"/>
          </w:tcPr>
          <w:p>
            <w:pPr>
              <w:pStyle w:val="TableText"/>
            </w:pPr>
            <w:r>
              <w:t xml:space="preserve">A</w:t>
            </w:r>
          </w:p>
        </w:tc>
        <w:tc>
          <w:tcPr>
            <w:tcW w:w="3450" w:type="dxa"/>
            <w:tcBorders>
              <w:bottom w:val="single" w:sz="2" w:space="0" w:color="BFBFBF"/>
            </w:tcBorders>
            <w:vAlign w:val="top"/>
          </w:tcPr>
          <w:p>
            <w:pPr>
              <w:pStyle w:val="TableText"/>
            </w:pPr>
            <w:r>
              <w:t xml:space="preserve">BM_Verdict_Boundary_SameClass.pv and BM_Validator_FullPacketHash_Secrecy.pv</w:t>
            </w:r>
          </w:p>
        </w:tc>
        <w:tc>
          <w:tcPr>
            <w:tcW w:w="1450" w:type="dxa"/>
            <w:tcBorders>
              <w:bottom w:val="single" w:sz="2" w:space="0" w:color="BFBFBF"/>
            </w:tcBorders>
            <w:vAlign w:val="top"/>
          </w:tcPr>
          <w:p>
            <w:pPr>
              <w:pStyle w:val="TableText"/>
            </w:pPr>
            <w:r>
              <w:t xml:space="preserve">Observational equivalence</w:t>
            </w:r>
            <w:r>
              <w:t xml:space="preserve"> and secrecy query</w:t>
            </w:r>
          </w:p>
        </w:tc>
        <w:tc>
          <w:tcPr>
            <w:tcW w:w="3360" w:type="dxa"/>
            <w:tcBorders>
              <w:bottom w:val="single" w:sz="2" w:space="0" w:color="BFBFBF"/>
            </w:tcBorders>
            <w:vAlign w:val="top"/>
          </w:tcPr>
          <w:p>
            <w:pPr>
              <w:pStyle w:val="TableText"/>
            </w:pPr>
            <w:r>
              <w:t xml:space="preserve">Device Non-Correlation</w:t>
            </w:r>
          </w:p>
        </w:tc>
      </w:tr>
      <w:tr>
        <w:trPr>
          <w:cantSplit/>
        </w:trPr>
        <w:tc>
          <w:tcPr>
            <w:tcW w:w="1100" w:type="dxa"/>
            <w:tcBorders>
              <w:bottom w:val="single" w:sz="2" w:space="0" w:color="BFBFBF"/>
            </w:tcBorders>
            <w:vAlign w:val="top"/>
          </w:tcPr>
          <w:p>
            <w:pPr>
              <w:pStyle w:val="TableText"/>
            </w:pPr>
            <w:r>
              <w:t xml:space="preserve">B</w:t>
            </w:r>
          </w:p>
        </w:tc>
        <w:tc>
          <w:tcPr>
            <w:tcW w:w="3450" w:type="dxa"/>
            <w:tcBorders>
              <w:bottom w:val="single" w:sz="2" w:space="0" w:color="BFBFBF"/>
            </w:tcBorders>
            <w:vAlign w:val="top"/>
          </w:tcPr>
          <w:p>
            <w:pPr>
              <w:pStyle w:val="TableText"/>
            </w:pPr>
            <w:r>
              <w:t xml:space="preserve">BM_Baseline_Noncorrelation.pv</w:t>
            </w:r>
          </w:p>
        </w:tc>
        <w:tc>
          <w:tcPr>
            <w:tcW w:w="1450" w:type="dxa"/>
            <w:tcBorders>
              <w:bottom w:val="single" w:sz="2" w:space="0" w:color="BFBFBF"/>
            </w:tcBorders>
            <w:vAlign w:val="top"/>
          </w:tcPr>
          <w:p>
            <w:pPr>
              <w:pStyle w:val="TableText"/>
            </w:pPr>
            <w:r>
              <w:t xml:space="preserve">Observational equivalence</w:t>
            </w:r>
          </w:p>
        </w:tc>
        <w:tc>
          <w:tcPr>
            <w:tcW w:w="3360" w:type="dxa"/>
            <w:tcBorders>
              <w:bottom w:val="single" w:sz="2" w:space="0" w:color="BFBFBF"/>
            </w:tcBorders>
            <w:vAlign w:val="top"/>
          </w:tcPr>
          <w:p>
            <w:pPr>
              <w:pStyle w:val="TableText"/>
            </w:pPr>
            <w:r>
              <w:t xml:space="preserve">Registry Observer Non-Identification</w:t>
            </w:r>
          </w:p>
        </w:tc>
      </w:tr>
      <w:tr>
        <w:trPr>
          <w:cantSplit/>
        </w:trPr>
        <w:tc>
          <w:tcPr>
            <w:tcW w:w="1100" w:type="dxa"/>
            <w:tcBorders>
              <w:bottom w:val="single" w:sz="2" w:space="0" w:color="BFBFBF"/>
            </w:tcBorders>
            <w:vAlign w:val="top"/>
          </w:tcPr>
          <w:p>
            <w:pPr>
              <w:pStyle w:val="TableText"/>
            </w:pPr>
            <w:r>
              <w:t xml:space="preserve">C</w:t>
            </w:r>
          </w:p>
        </w:tc>
        <w:tc>
          <w:tcPr>
            <w:tcW w:w="3450" w:type="dxa"/>
            <w:tcBorders>
              <w:bottom w:val="single" w:sz="2" w:space="0" w:color="BFBFBF"/>
            </w:tcBorders>
            <w:vAlign w:val="top"/>
          </w:tcPr>
          <w:p>
            <w:pPr>
              <w:pStyle w:val="TableText"/>
            </w:pPr>
            <w:r>
              <w:t xml:space="preserve">BM_ContentChannelServer_Compromise.pv</w:t>
            </w:r>
          </w:p>
        </w:tc>
        <w:tc>
          <w:tcPr>
            <w:tcW w:w="1450" w:type="dxa"/>
            <w:tcBorders>
              <w:bottom w:val="single" w:sz="2" w:space="0" w:color="BFBFBF"/>
            </w:tcBorders>
            <w:vAlign w:val="top"/>
          </w:tcPr>
          <w:p>
            <w:pPr>
              <w:pStyle w:val="TableText"/>
            </w:pPr>
            <w:r>
              <w:t xml:space="preserve">Observational equivalence</w:t>
            </w:r>
          </w:p>
        </w:tc>
        <w:tc>
          <w:tcPr>
            <w:tcW w:w="3360" w:type="dxa"/>
            <w:tcBorders>
              <w:bottom w:val="single" w:sz="2" w:space="0" w:color="BFBFBF"/>
            </w:tcBorders>
            <w:vAlign w:val="top"/>
          </w:tcPr>
          <w:p>
            <w:pPr>
              <w:pStyle w:val="TableText"/>
            </w:pPr>
            <w:r>
              <w:t xml:space="preserve">Content Channel Server Blindness</w:t>
            </w:r>
          </w:p>
        </w:tc>
      </w:tr>
      <w:tr>
        <w:trPr>
          <w:cantSplit/>
        </w:trPr>
        <w:tc>
          <w:tcPr>
            <w:tcW w:w="1100" w:type="dxa"/>
            <w:tcBorders>
              <w:bottom w:val="single" w:sz="2" w:space="0" w:color="BFBFBF"/>
            </w:tcBorders>
            <w:vAlign w:val="top"/>
          </w:tcPr>
          <w:p>
            <w:pPr>
              <w:pStyle w:val="TableText"/>
            </w:pPr>
            <w:r>
              <w:t xml:space="preserve">D</w:t>
            </w:r>
          </w:p>
        </w:tc>
        <w:tc>
          <w:tcPr>
            <w:tcW w:w="3450" w:type="dxa"/>
            <w:tcBorders>
              <w:bottom w:val="single" w:sz="2" w:space="0" w:color="BFBFBF"/>
            </w:tcBorders>
            <w:vAlign w:val="top"/>
          </w:tcPr>
          <w:p>
            <w:pPr>
              <w:pStyle w:val="TableText"/>
            </w:pPr>
            <w:r>
              <w:t xml:space="preserve">BM_CredentialChannelServer_Compromise.pv</w:t>
            </w:r>
          </w:p>
        </w:tc>
        <w:tc>
          <w:tcPr>
            <w:tcW w:w="1450" w:type="dxa"/>
            <w:tcBorders>
              <w:bottom w:val="single" w:sz="2" w:space="0" w:color="BFBFBF"/>
            </w:tcBorders>
            <w:vAlign w:val="top"/>
          </w:tcPr>
          <w:p>
            <w:pPr>
              <w:pStyle w:val="TableText"/>
            </w:pPr>
            <w:r>
              <w:t xml:space="preserve">Observational equivalence (confirmed)</w:t>
            </w:r>
          </w:p>
        </w:tc>
        <w:tc>
          <w:tcPr>
            <w:tcW w:w="336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100" w:type="dxa"/>
            <w:tcBorders>
              <w:bottom w:val="single" w:sz="2" w:space="0" w:color="BFBFBF"/>
            </w:tcBorders>
            <w:vAlign w:val="top"/>
          </w:tcPr>
          <w:p>
            <w:pPr>
              <w:pStyle w:val="TableText"/>
            </w:pPr>
            <w:r>
              <w:t xml:space="preserve">E</w:t>
            </w:r>
          </w:p>
        </w:tc>
        <w:tc>
          <w:tcPr>
            <w:tcW w:w="3450" w:type="dxa"/>
            <w:tcBorders>
              <w:bottom w:val="single" w:sz="2" w:space="0" w:color="BFBFBF"/>
            </w:tcBorders>
            <w:vAlign w:val="top"/>
          </w:tcPr>
          <w:p>
            <w:pPr>
              <w:pStyle w:val="TableText"/>
            </w:pPr>
            <w:r>
              <w:t xml:space="preserve">BM_Verdict_Boundary_SameClass.pv and BM_Validator_FullPacketHash_Secrecy.pv</w:t>
            </w:r>
          </w:p>
        </w:tc>
        <w:tc>
          <w:tcPr>
            <w:tcW w:w="1450" w:type="dxa"/>
            <w:tcBorders>
              <w:bottom w:val="single" w:sz="2" w:space="0" w:color="BFBFBF"/>
            </w:tcBorders>
            <w:vAlign w:val="top"/>
          </w:tcPr>
          <w:p>
            <w:pPr>
              <w:pStyle w:val="TableText"/>
            </w:pPr>
            <w:r>
              <w:t xml:space="preserve">Observational equivalence </w:t>
            </w:r>
            <w:r>
              <w:t xml:space="preserve">and secrecy query (confirmed)</w:t>
            </w:r>
          </w:p>
        </w:tc>
        <w:tc>
          <w:tcPr>
            <w:tcW w:w="3360" w:type="dxa"/>
            <w:tcBorders>
              <w:bottom w:val="single" w:sz="2" w:space="0" w:color="BFBFBF"/>
            </w:tcBorders>
            <w:vAlign w:val="top"/>
          </w:tcPr>
          <w:p>
            <w:pPr>
              <w:pStyle w:val="TableText"/>
            </w:pPr>
            <w:r>
              <w:t xml:space="preserve">Validator-compromise resistance: </w:t>
            </w:r>
            <w:r>
              <w:t xml:space="preserve">FullPacketHash stays unreachable without C’s BlindShare_key, including when the device identities are public, for submissions that share a verdict</w:t>
            </w:r>
          </w:p>
        </w:tc>
      </w:tr>
      <w:tr>
        <w:trPr>
          <w:cantSplit/>
        </w:trPr>
        <w:tc>
          <w:tcPr>
            <w:tcW w:w="1100" w:type="dxa"/>
            <w:tcBorders>
              <w:bottom w:val="single" w:sz="2" w:space="0" w:color="BFBFBF"/>
            </w:tcBorders>
            <w:vAlign w:val="top"/>
          </w:tcPr>
          <w:p>
            <w:pPr>
              <w:pStyle w:val="TableText"/>
            </w:pPr>
            <w:r>
              <w:t xml:space="preserve">F</w:t>
            </w:r>
          </w:p>
        </w:tc>
        <w:tc>
          <w:tcPr>
            <w:tcW w:w="3450" w:type="dxa"/>
            <w:tcBorders>
              <w:bottom w:val="single" w:sz="2" w:space="0" w:color="BFBFBF"/>
            </w:tcBorders>
            <w:vAlign w:val="top"/>
          </w:tcPr>
          <w:p>
            <w:pPr>
              <w:pStyle w:val="TableText"/>
            </w:pPr>
            <w:r>
              <w:t xml:space="preserve">BM_ContentChannelServer_Compromise.pv</w:t>
            </w:r>
          </w:p>
        </w:tc>
        <w:tc>
          <w:tcPr>
            <w:tcW w:w="1450" w:type="dxa"/>
            <w:tcBorders>
              <w:bottom w:val="single" w:sz="2" w:space="0" w:color="BFBFBF"/>
            </w:tcBorders>
            <w:vAlign w:val="top"/>
          </w:tcPr>
          <w:p>
            <w:pPr>
              <w:pStyle w:val="TableText"/>
            </w:pPr>
            <w:r>
              <w:t xml:space="preserve">Observational equivalence (confirmed)</w:t>
            </w:r>
          </w:p>
        </w:tc>
        <w:tc>
          <w:tcPr>
            <w:tcW w:w="336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100" w:type="dxa"/>
            <w:tcBorders>
              <w:bottom w:val="single" w:sz="2" w:space="0" w:color="BFBFBF"/>
            </w:tcBorders>
            <w:vAlign w:val="top"/>
          </w:tcPr>
          <w:p>
            <w:pPr>
              <w:pStyle w:val="TableText"/>
            </w:pPr>
            <w:r>
              <w:t xml:space="preserve">G</w:t>
            </w:r>
          </w:p>
        </w:tc>
        <w:tc>
          <w:tcPr>
            <w:tcW w:w="3450" w:type="dxa"/>
            <w:tcBorders>
              <w:bottom w:val="single" w:sz="2" w:space="0" w:color="BFBFBF"/>
            </w:tcBorders>
            <w:vAlign w:val="top"/>
          </w:tcPr>
          <w:p>
            <w:pPr>
              <w:pStyle w:val="TableText"/>
            </w:pPr>
            <w:r>
              <w:t xml:space="preserve">BM_Quorum_Forgery.pv and BM_Quorum_Collusion.pv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100" w:type="dxa"/>
            <w:tcBorders>
              <w:bottom w:val="single" w:sz="2" w:space="0" w:color="BFBFBF"/>
            </w:tcBorders>
            <w:vAlign w:val="top"/>
          </w:tcPr>
          <w:p>
            <w:pPr>
              <w:pStyle w:val="TableText"/>
            </w:pPr>
            <w:r>
              <w:t xml:space="preserve">H</w:t>
            </w:r>
          </w:p>
        </w:tc>
        <w:tc>
          <w:tcPr>
            <w:tcW w:w="3450" w:type="dxa"/>
            <w:tcBorders>
              <w:bottom w:val="single" w:sz="2" w:space="0" w:color="BFBFBF"/>
            </w:tcBorders>
            <w:vAlign w:val="top"/>
          </w:tcPr>
          <w:p>
            <w:pPr>
              <w:pStyle w:val="TableText"/>
            </w:pPr>
            <w:r>
              <w:t xml:space="preserve">BM_Registry_Convergence.pv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100" w:type="dxa"/>
            <w:tcBorders>
              <w:bottom w:val="single" w:sz="2" w:space="0" w:color="BFBFBF"/>
            </w:tcBorders>
            <w:vAlign w:val="top"/>
          </w:tcPr>
          <w:p>
            <w:pPr>
              <w:pStyle w:val="TableText"/>
            </w:pPr>
            <w:r>
              <w:t xml:space="preserve">I</w:t>
            </w:r>
          </w:p>
        </w:tc>
        <w:tc>
          <w:tcPr>
            <w:tcW w:w="3450" w:type="dxa"/>
            <w:tcBorders>
              <w:bottom w:val="single" w:sz="2" w:space="0" w:color="BFBFBF"/>
            </w:tcBorders>
            <w:vAlign w:val="top"/>
          </w:tcPr>
          <w:p>
            <w:pPr>
              <w:pStyle w:val="TableText"/>
            </w:pPr>
            <w:r>
              <w:t xml:space="preserve">BM_Quorum_Forgery.pv</w:t>
            </w:r>
            <w:r>
              <w:t xml:space="preserve"> and BM_Quorum_Collusion.pv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100" w:type="dxa"/>
            <w:tcBorders>
              <w:bottom w:val="single" w:sz="12" w:space="0" w:color="000000"/>
            </w:tcBorders>
            <w:vAlign w:val="top"/>
          </w:tcPr>
          <w:p>
            <w:pPr>
              <w:pStyle w:val="TableText"/>
            </w:pPr>
            <w:r>
              <w:t xml:space="preserve">J</w:t>
            </w:r>
          </w:p>
        </w:tc>
        <w:tc>
          <w:tcPr>
            <w:tcW w:w="3450" w:type="dxa"/>
            <w:tcBorders>
              <w:bottom w:val="single" w:sz="12" w:space="0" w:color="000000"/>
            </w:tcBorders>
            <w:vAlign w:val="top"/>
          </w:tcPr>
          <w:p>
            <w:pPr>
              <w:pStyle w:val="TableText"/>
            </w:pPr>
            <w:r>
              <w:t xml:space="preserve">BM_Gatekeeper_Compromise.pv</w:t>
            </w:r>
          </w:p>
        </w:tc>
        <w:tc>
          <w:tcPr>
            <w:tcW w:w="1450" w:type="dxa"/>
            <w:tcBorders>
              <w:bottom w:val="single" w:sz="12" w:space="0" w:color="000000"/>
            </w:tcBorders>
            <w:vAlign w:val="top"/>
          </w:tcPr>
          <w:p>
            <w:pPr>
              <w:pStyle w:val="TableText"/>
            </w:pPr>
            <w:r>
              <w:t xml:space="preserve">Observational equivalence (confirmed)</w:t>
            </w:r>
          </w:p>
        </w:tc>
        <w:tc>
          <w:tcPr>
            <w:tcW w:w="336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identities T1 and T2 and the contents imgX and imgY are public names, so the observer can name a candidate.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 It must fail, or the model cannot see a credential leak.</w:t>
      </w:r>
    </w:p>
    <w:p>
      <w:pPr>
        <w:pStyle w:val="BodyText"/>
      </w:pPr>
      <w:r>
        <w:t xml:space="preserve">Encryption throughout has to be modeled as probabilistic, not deterministic, or the model would not reflect what it claims to establish. A deterministic encryption function would let the adversary encrypt a candidate FullPacketHash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pPr>
      <w:r>
        <w:t xml:space="preserve">The proof obligation is a single equivalence: the two scenarios, one in which the first device </w:t>
      </w:r>
      <w:r>
        <w:t xml:space="preserve">authenticates imgX under T1</w:t>
      </w:r>
      <w:r>
        <w:t xml:space="preserve">, and one in which it </w:t>
      </w:r>
      <w:r>
        <w:t xml:space="preserve">authenticates imgX under T2</w:t>
      </w:r>
      <w:r>
        <w:t xml:space="preserve">, must be indistinguishable to any outside observer, with everything else in the model, both contents, both tokens, the gatekeepers, the quorum, the registry, </w:t>
      </w:r>
      <w:r>
        <w:t xml:space="preserve">running identically in both worlds except for which device holds which token.</w:t>
      </w:r>
    </w:p>
    <w:p>
      <w:pPr>
        <w:pStyle w:val="BodyText"/>
      </w:pPr>
      <w:r>
        <w:t xml:space="preserve">ProVerif output: RESULT Observational equivalence is true.</w:t>
      </w:r>
    </w:p>
    <w:p>
      <w:pPr>
        <w:pStyle w:val="BodyText"/>
      </w:pPr>
      <w:r>
        <w:t xml:space="preserve">The model returns equivalence, confirming Property B. The twin returns “Observational equivalence cannot be proved”, as intended.</w:t>
      </w:r>
    </w:p>
    <w:p>
      <w:pPr>
        <w:pStyle w:val="Heading2"/>
      </w:pPr>
      <w:r>
        <w:rPr>
          <w:b/>
          <w:bCs/>
        </w:rPr>
        <w:t xml:space="preserve">A.3 Single-Component Compromise Resistance: </w:t>
      </w:r>
      <w:r>
        <w:rPr>
          <w:b/>
          <w:bCs/>
        </w:rPr>
        <w:t xml:space="preserve">Properties A, C, D, E, F, and J</w:t>
      </w:r>
    </w:p>
    <w:p>
      <w:pPr>
        <w:pStyle w:val="BodyText"/>
      </w:pPr>
      <w:r>
        <w:t xml:space="preserve">Five models test whether the compromise of one component (C, the credential validator, a content channel server, or a gatekeeper) is sufficient for correlation: one each for C, the content channel server and the gatekeeper, and two for the validator. Each leaks that component’s keys while the other keys stay private. The models for C, the content channel server and the gatekeeper swap the device identity, as in Appendix A.2. The identities T1 and T2 and the contents are public names, so the adversary can name a candidate.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 Each of the five models has a twin, and each twin fails.</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rather than one isolated key; c_device_sk stays private. FullPacketHash reaches the validator only wrapped under BlindShare_key, a value C generates fresh per transaction and never shares,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BM_Verdict_Boundary_Control.pv,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at all, since the credential channel terminates at C, not at any gatekeeper.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t xml:space="preserve">All hold, and every twin fails. Leaking any one component’s keys, with the others withheld, gives a Dolev-Yao adversary no way to tell which device holds which token. For the validator, the component that sees the credential, it also gives no way to tell which content a device authenticated, within one verdict class. Each model can detect the fault its twin carries.</w:t>
      </w:r>
    </w:p>
    <w:p>
      <w:pPr>
        <w:pStyle w:val="Heading2"/>
      </w:pPr>
      <w:r>
        <w:rPr>
          <w:b/>
          <w:bCs/>
        </w:rPr>
        <w:t xml:space="preserve">A.4 Posting and Registry Integrity: Properties G, H, and I</w:t>
      </w:r>
    </w:p>
    <w:p>
      <w:pPr>
        <w:pStyle w:val="BodyText"/>
      </w:pPr>
      <w:r>
        <w:t xml:space="preserve">Three further properties confirm that posting integrity, not privacy, resists single-party forgery. They support R1 (Section 4.2), not R2. All three are correspondence queries: each states that one event happens only if an earlier event did. A secrecy query on a signing key is true whenever the model never sends the key, whether or not the protocol is sound, so it would not test these properties. Properties G and I are checked on the same two Quorum models. Each model also asks whether a quorum is reachable, so that no result holds only because nothing happens.</w:t>
      </w:r>
    </w:p>
    <w:p>
      <w:pPr>
        <w:pStyle w:val="BodyText"/>
      </w:pPr>
      <w:r>
        <w:t xml:space="preserve">Property G (verdict integrity). Section 3.3 requires C to accept a verdict only with the validator’s signature over that verdict and the wrapped value C itself sent, and requires each gatekeeper to check C’s signature in turn. The query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independently-submitted entries, signed by two distinct content channel server identities, agreeing on the same ContentHash before the registry finalizes a record: each server signs with a registry-signing key held only for this purpose, separate from the Channel Key that decrypted its own content channel (f_sign_sk for one, i_sign_sk for the other). </w:t>
      </w:r>
      <w:r>
        <w:t xml:space="preserve">F is fully compromised: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Section 3.3 requires </w:t>
      </w:r>
      <w:r>
        <w:t xml:space="preserve">a candidate FullPacketHash and verdict to appear on at least two of three independent match boards</w:t>
      </w:r>
      <w:r>
        <w:t xml:space="preserve">, each backed by both the credential channel server’s (C) signature and that board’s own gatekeeper countersignature, before a content channel server proceeds. Two models test this against increasingly strong compromise.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Query </w:t>
      </w:r>
      <w:r>
        <w:t xml:space="preserve">event(quorum_reached(p,v)) ==&gt; event(c_checked(p,v)) is true, and a quorum is reachable. The twin, in which the honest gatekeepers and the quorum verify no signatures, fails the first query.</w:t>
      </w:r>
    </w:p>
    <w:p>
      <w:pPr>
        <w:pStyle w:val="BodyText"/>
      </w:pPr>
      <w:r>
        <w:t xml:space="preserve">ProVerif output: Query </w:t>
      </w:r>
      <w:r>
        <w:t xml:space="preserve">event(quorum_reached(p,v)) ==&gt; event(c_checked(p,v)) is true, and a quorum is reachable. The twin, in which the quorum of the two compromised boards does not verify C’s signature, fails the first query.</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Property H’s result depends on signature-based server identity </w:t>
      </w:r>
      <w:r>
        <w:t xml:space="preserve">actually being the registry’s verification mechanism at intake;</w:t>
      </w:r>
      <w:r>
        <w:t xml:space="preserve"> if a future revision authenticates submissions some other way, this model would need to be re-derived under that mechanism.</w:t>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the ring signature’s unlinkability is evaluated empirically in Appendix D.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replay logging, the key reference, the Optional-Field Flags byte and padding. The optional fields are modeled as a single field. For the privacy properties, cross-role compromise, which Section 4.6 treats as defeating the guarantee, is not modeled.</w:t>
      </w:r>
    </w:p>
    <w:p>
      <w:pPr>
        <w:pStyle w:val="BodyText"/>
      </w:pPr>
      <w:r>
        <w:t xml:space="preserve">Table A.2 lists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keepNext/>
            </w:pPr>
            <w:r>
              <w:t xml:space="preserve">2</w:t>
            </w:r>
          </w:p>
        </w:tc>
        <w:tc>
          <w:tcPr>
            <w:tcW w:w="4002" w:type="dxa"/>
            <w:tcBorders>
              <w:bottom w:val="single" w:sz="2" w:space="0" w:color="BFBFBF"/>
            </w:tcBorders>
            <w:vAlign w:val="top"/>
          </w:tcPr>
          <w:p>
            <w:pPr>
              <w:pStyle w:val="TableText"/>
              <w:keepNext/>
            </w:pPr>
            <w:r>
              <w:t xml:space="preserve">Traffic analysis and timing correlation against an adversary holding no keys</w:t>
            </w:r>
          </w:p>
        </w:tc>
        <w:tc>
          <w:tcPr>
            <w:tcW w:w="3037" w:type="dxa"/>
            <w:tcBorders>
              <w:bottom w:val="single" w:sz="2" w:space="0" w:color="BFBFBF"/>
            </w:tcBorders>
            <w:vAlign w:val="top"/>
          </w:tcPr>
          <w:p>
            <w:pPr>
              <w:pStyle w:val="TableText"/>
              <w:keepNext/>
            </w:pPr>
            <w:r>
              <w:t xml:space="preserve">Empirical</w:t>
            </w:r>
          </w:p>
        </w:tc>
        <w:tc>
          <w:tcPr>
            <w:tcW w:w="1830" w:type="dxa"/>
            <w:tcBorders>
              <w:bottom w:val="single" w:sz="2" w:space="0" w:color="BFBFBF"/>
            </w:tcBorders>
            <w:vAlign w:val="top"/>
          </w:tcPr>
          <w:p>
            <w:pPr>
              <w:pStyle w:val="TableText"/>
              <w:keepNext/>
            </w:pPr>
            <w:r>
              <w:t xml:space="preserve">Appendix D (all seven vantage points)</w:t>
            </w:r>
          </w:p>
        </w:tc>
      </w:tr>
      <w:tr>
        <w:trPr>
          <w:cantSplit/>
        </w:trPr>
        <w:tc>
          <w:tcPr>
            <w:tcW w:w="490" w:type="dxa"/>
            <w:tcBorders>
              <w:bottom w:val="single" w:sz="2" w:space="0" w:color="BFBFBF"/>
            </w:tcBorders>
            <w:vAlign w:val="top"/>
          </w:tcPr>
          <w:p>
            <w:pPr>
              <w:pStyle w:val="TableText"/>
              <w:keepNext/>
            </w:pPr>
            <w:r>
              <w:t xml:space="preserve">3</w:t>
            </w:r>
          </w:p>
        </w:tc>
        <w:tc>
          <w:tcPr>
            <w:tcW w:w="4002" w:type="dxa"/>
            <w:tcBorders>
              <w:bottom w:val="single" w:sz="2" w:space="0" w:color="BFBFBF"/>
            </w:tcBorders>
            <w:vAlign w:val="top"/>
          </w:tcPr>
          <w:p>
            <w:pPr>
              <w:pStyle w:val="TableText"/>
              <w:keepNext/>
            </w:pPr>
            <w:r>
              <w:t xml:space="preserve">Governance compromise and legal compulsion</w:t>
            </w:r>
          </w:p>
        </w:tc>
        <w:tc>
          <w:tcPr>
            <w:tcW w:w="3037" w:type="dxa"/>
            <w:tcBorders>
              <w:bottom w:val="single" w:sz="2" w:space="0" w:color="BFBFBF"/>
            </w:tcBorders>
            <w:vAlign w:val="top"/>
          </w:tcPr>
          <w:p>
            <w:pPr>
              <w:pStyle w:val="TableText"/>
              <w:keepNext/>
            </w:pPr>
            <w:r>
              <w:t xml:space="preserve">Governance and audit</w:t>
            </w:r>
          </w:p>
        </w:tc>
        <w:tc>
          <w:tcPr>
            <w:tcW w:w="1830" w:type="dxa"/>
            <w:tcBorders>
              <w:bottom w:val="single" w:sz="2" w:space="0" w:color="BFBFBF"/>
            </w:tcBorders>
            <w:vAlign w:val="top"/>
          </w:tcPr>
          <w:p>
            <w:pPr>
              <w:pStyle w:val="TableText"/>
              <w:keepNext/>
            </w:pPr>
            <w:r>
              <w:t xml:space="preserve">Section 6.2; Appendix C</w:t>
            </w:r>
          </w:p>
        </w:tc>
      </w:tr>
      <w:tr>
        <w:trPr>
          <w:cantSplit/>
        </w:trPr>
        <w:tc>
          <w:tcPr>
            <w:tcW w:w="490" w:type="dxa"/>
            <w:tcBorders>
              <w:bottom w:val="single" w:sz="2" w:space="0" w:color="BFBFBF"/>
            </w:tcBorders>
            <w:vAlign w:val="top"/>
          </w:tcPr>
          <w:p>
            <w:pPr>
              <w:pStyle w:val="TableText"/>
              <w:keepNext/>
            </w:pPr>
            <w:r>
              <w:t xml:space="preserve">4</w:t>
            </w:r>
          </w:p>
        </w:tc>
        <w:tc>
          <w:tcPr>
            <w:tcW w:w="4002" w:type="dxa"/>
            <w:tcBorders>
              <w:bottom w:val="single" w:sz="2" w:space="0" w:color="BFBFBF"/>
            </w:tcBorders>
            <w:vAlign w:val="top"/>
          </w:tcPr>
          <w:p>
            <w:pPr>
              <w:pStyle w:val="TableText"/>
              <w:keepNext/>
            </w:pPr>
            <w:r>
              <w:t xml:space="preserve">Blockchain consensus and liveness</w:t>
            </w:r>
          </w:p>
        </w:tc>
        <w:tc>
          <w:tcPr>
            <w:tcW w:w="3037" w:type="dxa"/>
            <w:tcBorders>
              <w:bottom w:val="single" w:sz="2" w:space="0" w:color="BFBFBF"/>
            </w:tcBorders>
            <w:vAlign w:val="top"/>
          </w:tcPr>
          <w:p>
            <w:pPr>
              <w:pStyle w:val="TableText"/>
              <w:keepNext/>
            </w:pPr>
            <w:r>
              <w:t xml:space="preserve">Out of scope; liveness handled by governance removal</w:t>
            </w:r>
          </w:p>
        </w:tc>
        <w:tc>
          <w:tcPr>
            <w:tcW w:w="1830" w:type="dxa"/>
            <w:tcBorders>
              <w:bottom w:val="single" w:sz="2" w:space="0" w:color="BFBFBF"/>
            </w:tcBorders>
            <w:vAlign w:val="top"/>
          </w:tcPr>
          <w:p>
            <w:pPr>
              <w:pStyle w:val="TableText"/>
              <w:keepNext/>
            </w:pPr>
            <w:r>
              <w:t xml:space="preserve">Section 4.1</w:t>
            </w:r>
          </w:p>
        </w:tc>
      </w:tr>
      <w:tr>
        <w:trPr>
          <w:cantSplit/>
        </w:trPr>
        <w:tc>
          <w:tcPr>
            <w:tcW w:w="490" w:type="dxa"/>
            <w:tcBorders>
              <w:bottom w:val="single" w:sz="2" w:space="0" w:color="BFBFBF"/>
            </w:tcBorders>
            <w:vAlign w:val="top"/>
          </w:tcPr>
          <w:p>
            <w:pPr>
              <w:pStyle w:val="TableText"/>
              <w:keepNext/>
            </w:pPr>
            <w:r>
              <w:t xml:space="preserve">5</w:t>
            </w:r>
          </w:p>
        </w:tc>
        <w:tc>
          <w:tcPr>
            <w:tcW w:w="4002" w:type="dxa"/>
            <w:tcBorders>
              <w:bottom w:val="single" w:sz="2" w:space="0" w:color="BFBFBF"/>
            </w:tcBorders>
            <w:vAlign w:val="top"/>
          </w:tcPr>
          <w:p>
            <w:pPr>
              <w:pStyle w:val="TableText"/>
              <w:keepNext/>
            </w:pPr>
            <w:r>
              <w:t xml:space="preserve">Network-layer identity exposure (source IP address)</w:t>
            </w:r>
          </w:p>
        </w:tc>
        <w:tc>
          <w:tcPr>
            <w:tcW w:w="3037" w:type="dxa"/>
            <w:tcBorders>
              <w:bottom w:val="single" w:sz="2" w:space="0" w:color="BFBFBF"/>
            </w:tcBorders>
            <w:vAlign w:val="top"/>
          </w:tcPr>
          <w:p>
            <w:pPr>
              <w:pStyle w:val="TableText"/>
              <w:keepNext/>
            </w:pPr>
            <w:r>
              <w:t xml:space="preserve">Architectural requirement (R6), not verifiable in the symbolic model; empirical check</w:t>
            </w:r>
          </w:p>
        </w:tc>
        <w:tc>
          <w:tcPr>
            <w:tcW w:w="1830" w:type="dxa"/>
            <w:tcBorders>
              <w:bottom w:val="single" w:sz="2" w:space="0" w:color="BFBFBF"/>
            </w:tcBorders>
            <w:vAlign w:val="top"/>
          </w:tcPr>
          <w:p>
            <w:pPr>
              <w:pStyle w:val="TableText"/>
              <w:keepN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bl>
    <w:p>
      <w:pPr>
        <w:pStyle w:val="Heading1"/>
      </w:pPr>
      <w:r>
        <w:rPr>
          <w:b/>
          <w:bCs/>
        </w:rPr>
        <w:t xml:space="preserve">APPENDIX B: DEVICE-SIDE COMPUTATIONAL TIMING (ESTIMATED FROM PUBLISHED BENCHMARKS)</w:t>
      </w:r>
    </w:p>
    <w:p>
      <w:pPr>
        <w:pStyle w:val="BodyText"/>
      </w:pPr>
      <w:r>
        <w:t xml:space="preserve">This paper’s device-side timing claim (Section 5, 6.1) rests on published benchmarks for standard, non-novel cryptographic primitives, not on fresh measurement of a specific prototype; no timing instrumentation has been run on this architecture’s own implementation.</w:t>
      </w:r>
      <w:r>
        <w:t xml:space="preserve"> This estimate is device-side only; the validator’s signing operation (Section 3.3) is not a device cost.</w:t>
      </w:r>
      <w:r>
        <w:t xml:space="preserve"> The estimate is built as follows.</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one to encrypt the device token under V-token_pk; one to encrypt the credential packet (the encrypted token plus FullPacketHash in the clear) under C’s Channel Key; two more to encrypt the content channel under each of the two content channel servers’ Channel Keys independently; and three further wraps,</w:t>
      </w:r>
      <w:r>
        <w:t xml:space="preserve"/>
      </w:r>
      <w:r>
        <w:t xml:space="preserve"> one per channel, for delivery to each channel’s first relay (Section 3.2), an unavoidable cost of the relay layer that a direct-delivery count would omit.</w:t>
      </w:r>
    </w:p>
    <w:p>
      <w:pPr>
        <w:pStyle w:val="BodyText"/>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estimate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pPr>
      <w:r>
        <w:t xml:space="preserve">Hashing the media content to produce ContentHash is a separate, substantially larger cost, since it operates on the full raw image rather than a small value, and does not belong in the same category as the ECIES encryption operations above. eBACS [18] reports SHA-256 throughput of approximately 13.7 cycles/byte for long messages on this same Cortex-A8 hardware class, software-only, no hardware acceleration. A representative RAW file, roughly 25–35 MB for a 24-megapixel sensor and larger for higher resolutions, yields an estimated 430–600 ms on this conservative baseline; hardware-accelerated SHA (ARMv8 crypto extensions, roughly 3.6× faster on comparable hardware) brings this down to roughly 120–170 ms, still not negligible. This dominates the device-side timing budget; the ECC and symmetric operations above are a small fraction of the total by comparison.</w:t>
      </w:r>
    </w:p>
    <w:p>
      <w:pPr>
        <w:pStyle w:val="BodyText"/>
      </w:pPr>
      <w:r>
        <w:t xml:space="preserve">The 2–10 ms range stated in Section 6.1 covers only the ECIES encryption and symmetric operations on small values </w:t>
      </w:r>
      <w:r>
        <w:t xml:space="preserve">(about 6.6–9.2 ms on the slowest baseline)</w:t>
      </w:r>
      <w:r>
        <w:t xml:space="preserve">. Hashing the media content adds hundreds of milliseconds and scales with file size and hardware acceleration.</w:t>
      </w:r>
    </w:p>
    <w:p>
      <w:pPr>
        <w:pStyle w:val="BodyText"/>
      </w:pPr>
      <w:r>
        <w:t xml:space="preserve">Table A.3 sets the hashing cost beside the cost of proving the same hash in zero knowledge. The file is 30 MB, the middle of the 25–35 MB range above, or 468,750 SHA-256 compressions. The Cortex-A8 row comes from different hardware than the other three rows,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Appendix B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Binius64 (zero-knowledge), one M4 Max core</w:t>
            </w:r>
          </w:p>
        </w:tc>
        <w:tc>
          <w:tcPr>
            <w:tcW w:w="2500" w:type="dxa"/>
            <w:tcBorders>
              <w:bottom w:val="single" w:sz="2" w:space="0" w:color="BFBFBF"/>
            </w:tcBorders>
            <w:vAlign w:val="top"/>
          </w:tcPr>
          <w:p>
            <w:pPr>
              <w:pStyle w:val="TableText"/>
              <w:keepNext/>
            </w:pPr>
            <w:r>
              <w:t xml:space="preserve">about 94 s</w:t>
            </w:r>
          </w:p>
        </w:tc>
        <w:tc>
          <w:tcPr>
            <w:tcW w:w="1500" w:type="dxa"/>
            <w:tcBorders>
              <w:bottom w:val="single" w:sz="2" w:space="0" w:color="BFBFBF"/>
            </w:tcBorders>
            <w:vAlign w:val="top"/>
          </w:tcPr>
          <w:p>
            <w:pPr>
              <w:pStyle w:val="TableText"/>
              <w:keepNext/>
            </w:pPr>
            <w:r>
              <w:t xml:space="preserve">about 1,400×</w:t>
            </w:r>
          </w:p>
        </w:tc>
        <w:tc>
          <w:tcPr>
            <w:tcW w:w="1852" w:type="dxa"/>
            <w:tcBorders>
              <w:bottom w:val="single" w:sz="2" w:space="0" w:color="BFBFBF"/>
            </w:tcBorders>
            <w:vAlign w:val="top"/>
          </w:tcPr>
          <w:p>
            <w:pPr>
              <w:pStyle w:val="TableText"/>
              <w:keepNext/>
            </w:pPr>
            <w:r>
              <w:t xml:space="preserve">[19]</w:t>
            </w:r>
          </w:p>
        </w:tc>
      </w:tr>
    </w:tbl>
    <w:p>
      <w:pPr>
        <w:pStyle w:val="BodyText"/>
        <w:spacing w:before="200"/>
      </w:pPr>
      <w:r>
        <w:t xml:space="preserve">Proving the hash costs about 170 times (Flock, without zero-knowledge) and about 1,400 times (Binius64, with zero-knowledge) what computing it costs on the same core; these ratios come from the throughputs in Table 2 of [19]. Against this paper’s worst case of 430–600 ms, Binius64’s roughly 94 seconds is about 160 to 220 times slower, and Flock’s roughly 11 seconds is about 19 to 26 times slower, even though both ran on a desktop core and the worst case is a Cortex-A8-class core.</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explicitly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BodyText"/>
      </w:pPr>
      <w:r>
        <w:rPr>
          <w:b/>
          <w:bCs/>
        </w:rPr>
        <w:t xml:space="preserve">Manufacturer key rotation and revocation.</w:t>
      </w:r>
      <w:r>
        <w:t xml:space="preserve"> Manufacturer keys (V-token_pk/V-token_sk, and separately V-sign_pk/V-sign_sk) are manufacturer-controlled, not consortium-issued, consistent with credential validators operating outside consortium governance (Section 6.2). The V-Ring Key Table of the Validator Allowlist, a list of currently valid manufacturer public keys maintained alongside the schema-attestation mechanism (Section 6.2), lets Registry Nodes reject signatures from a revoked key going forward: a gatekeeper checks the validator’s signature against V-Ring, which is built from the currently valid keys in this table,</w:t>
      </w:r>
      <w:r>
        <w:t xml:space="preserve"> so a revoked key is not in the ring and its signatures fail (Section 3.3).</w:t>
      </w:r>
      <w:r>
        <w:t xml:space="preserve">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pPr>
      <w:r>
        <w:rPr>
          <w:b/>
          <w:bCs/>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Media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Heading1"/>
      </w:pPr>
      <w:r>
        <w:rPr>
          <w:b/>
          <w:bCs/>
        </w:rPr>
        <w:t xml:space="preserve">APPENDIX D: EMPIRICAL EVALUATION</w:t>
      </w:r>
    </w:p>
    <w:p>
      <w:pPr>
        <w:pStyle w:val="Heading2"/>
      </w:pPr>
      <w:r>
        <w:rPr>
          <w:b/>
          <w:bCs/>
        </w:rPr>
        <w:t xml:space="preserve">D.1 Overview</w:t>
      </w:r>
    </w:p>
    <w:p>
      <w:pPr>
        <w:pStyle w:val="BodyText"/>
      </w:pPr>
      <w:r>
        <w:t xml:space="preserve">This appendix reports an empirical evaluation of questions the formal properties in Appendix A cannot address: the ProVerif models have no notion of timing or packet size, and the symbolic model makes no claims about what a party with legitimate access to its own keys and internal timing can infer. Appendix D evaluates both gaps together in one experiment.</w:t>
      </w:r>
    </w:p>
    <w:p>
      <w:pPr>
        <w:pStyle w:val="BodyText"/>
      </w:pPr>
      <w:r>
        <w:t xml:space="preserve">The experiment, InternalCompromiseRun, simulates the protocol's full message flow with real and decoy traffic and attacks it from seven vantage points simultaneously: a passive network observer holding no keys, and each of the six key-holding components (first relays on the credential and content paths, the credential channel server C, the validator V, the gatekeepers, and the content channel servers F and I). Each adversary holds every key its component legitimately holds, its component's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nine distinct nodes: a credential path (A → B → C) and two content paths (D → E → F, G → H → I) sharing no node. Every transit leg is padded to a size drawn uniformly from 420–460 bytes; the gatekeeper fan-out uses its own larger class (820–860 bytes). </w:t>
      </w:r>
      <w:r>
        <w:t xml:space="preserve">Sixty decoy transactions from registered decoy identities are in flight at every real-traffic level; each is a genuine transaction, approved and finalized like any real one, and every adversary's candidate pool includes the decoy identities, since no vantage can distinguish them.</w:t>
      </w:r>
      <w:r>
        <w:t xml:space="preserve"> The run draws all nine nodes distinct and </w:t>
      </w:r>
      <w:r>
        <w:t xml:space="preserve">applies no jurisdiction filter and no skew of F and I.</w:t>
      </w:r>
      <w:r>
        <w:t xml:space="preserve"> The reference routing design (Section 5) </w:t>
      </w:r>
      <w:r>
        <w:t xml:space="preserve">guarantees only that the first relays differ from one another, that the destinations differ from one another, and that the nodes of one path differ, so a second relay may coincide with another path’s second relay, first relay or destination, and a first relay may coincide with another path’s destination.</w:t>
      </w:r>
      <w:r>
        <w:t xml:space="preserve"> The run does not test this, and </w:t>
      </w:r>
      <w:r>
        <w:t xml:space="preserve">it does not model the first-relay or validator jurisdiction filters or the skew of F and I toward the validator’s code.</w:t>
      </w:r>
      <w:r>
        <w:t xml:space="preserve"> The first-relay vantage holds its own keys and timing. </w:t>
      </w:r>
      <w:r>
        <w:t xml:space="preserve">It is not given the identity of the destination behind a routing code, and the run does not model the grouping of routing codes by shared destination.</w:t>
      </w:r>
    </w:p>
    <w:p>
      <w:pPr>
        <w:pStyle w:val="BodyText"/>
      </w:pPr>
      <w:r>
        <w:t xml:space="preserve">Each vantage scores every candidate — real device submissions on the wire, grouped into captures, with decoy identity submissions included — by the likelihood of the observed record time given that candidate, using likelihoods built by Monte Carlo simulation on independent seeds. The vantage with the highest summed posterior names the device. Every vantage is compared with a passive observer on the same records.</w:t>
      </w:r>
    </w:p>
    <w:p>
      <w:pPr>
        <w:pStyle w:val="BodyText"/>
      </w:pPr>
      <w:r>
        <w:t xml:space="preserve">Results are reported at N_real = 1, 20, and 100 real transactions in flight, each with 60 decoys. The mean capture-to-finalization latency under this configuration is 1,034 seconds. Two hundred runs per cell were completed; every cell produced at least 50 correct and 50 incorrect decisions per vantage.</w:t>
      </w:r>
    </w:p>
    <w:p>
      <w:pPr>
        <w:pStyle w:val="Heading2"/>
      </w:pPr>
      <w:r>
        <w:rPr>
          <w:b/>
          <w:bCs/>
        </w:rPr>
        <w:t xml:space="preserve">D.3 Results</w:t>
      </w:r>
    </w:p>
    <w:p>
      <w:pPr>
        <w:pStyle w:val="BodyText"/>
      </w:pPr>
      <w:r>
        <w:t xml:space="preserve">Per-cell device-naming accuracy and lead over the passive observer for all seven vantages, at N_real = 1 (the primary operating point) and N_real = 20 for comparison, are in the companion repository (Appendix D.1); this section reports the results the argument rests on.</w:t>
      </w:r>
    </w:p>
    <w:p>
      <w:pPr>
        <w:pStyle w:val="BodyText"/>
      </w:pPr>
      <w:r>
        <w:t xml:space="preserve">No component’s point estimate exceeds the passive observer’s by more than a quarter of a point at any tested volume,</w:t>
      </w:r>
      <w:r>
        <w:t xml:space="preserve"> a margin we treat as effectively indistinguishable from it. The largest lead is the content channel server’s at N_real = 100 (+0.24 points [+0.18, +0.30]), the only lead whose interval lies above zero, and it reflects the content channel server’s direct knowledge of content arrival time.</w:t>
      </w:r>
      <w:r>
        <w:t xml:space="preserve"> The upper end of that interval is 0.30, so a quarter of a point describes point estimates and is not a bound.</w:t>
      </w:r>
      <w:r>
        <w:t xml:space="preserve"> The validator, which knows device identity exactly, sits at or below the observer at every volume (−0.40 points at N_real = 1 [−0.79, −0.05]), because its feasible candidate set is smaller than the observer’s by construction.</w:t>
      </w:r>
    </w:p>
    <w:p>
      <w:pPr>
        <w:pStyle w:val="BodyText"/>
      </w:pPr>
      <w:r>
        <w:t xml:space="preserve">Every component, the observer included, names the device about 4 to 5 times as often as a guess among the devices that could have produced the record (the observer reaches 4.9× at N_real = 1 and 4.5× at N_real = 100). This ratio reflects timing structure along the relay path that no tested setting removes. Role-aware holds are the dominant mechanism: without them the validator leads the observer by 2.0 points at N_real = 1 (Appendix D.5).</w:t>
      </w:r>
    </w:p>
    <w:p>
      <w:pPr>
        <w:pStyle w:val="Heading2"/>
      </w:pPr>
      <w:r>
        <w:rPr>
          <w:b/>
          <w:bCs/>
        </w:rPr>
        <w:t xml:space="preserve">D.4 Confidence Analysis</w:t>
      </w:r>
    </w:p>
    <w:p>
      <w:pPr>
        <w:pStyle w:val="BodyText"/>
      </w:pPr>
      <w:r>
        <w:t xml:space="preserve">No vantage can identify which of its guesses are correct at any tested volume. The upper bound of the 95% interval on each vantage's top-1% most-confident guesses stays below 50% in every cell. Fewer than 0.1% of any vantage's guesses fall in a group that is right more than half the time. A vantage that passes this criterion cannot select any subset of its own decisions and be right about most of them; the credential channel server, first relays, and gatekeeper pass with no qualifying decisions at all at N_real = 1.</w:t>
      </w:r>
    </w:p>
    <w:p>
      <w:pPr>
        <w:pStyle w:val="Heading2"/>
      </w:pPr>
      <w:r>
        <w:rPr>
          <w:b/>
          <w:bCs/>
        </w:rPr>
        <w:t xml:space="preserve">D.5 Mechanism Attribution</w:t>
      </w:r>
    </w:p>
    <w:p>
      <w:pPr>
        <w:pStyle w:val="BodyText"/>
      </w:pPr>
      <w:r>
        <w:t xml:space="preserve">Removing role-aware holds (device content channels and F/I pre-match hold at 120 s rather than 240 s) </w:t>
      </w:r>
      <w:r>
        <w:t xml:space="preserve">raises the validator’s accuracy at N_real = 1 from 9.5% to 12.6% and the observer’s from 9.9% to 10.6%, moving the validator from 0.4 points below the observer to 2.0 points above it.</w:t>
      </w:r>
      <w:r>
        <w:t xml:space="preserve"> The remaining mechanisms—C's and V's holds, the departure-bundle inclusion lottery, the post-match lottery, and registry bundling—</w:t>
      </w:r>
      <w:r>
        <w:t xml:space="preserve">each change the observer’s accuracy by 0.1 points or less when removed alone; removing all five raises it by 1.5 points, about twice the effect of the role-aware holds alone.</w:t>
      </w:r>
      <w:r>
        <w:t xml:space="preserve"> </w:t>
      </w:r>
      <w:r>
        <w:t xml:space="preserve">Their primary functions are distinct from correlation resistance; for example, without the post-match lottery 21.6% of record pairs from F and I submit within 5 seconds, against 3.9% with it.</w:t>
      </w:r>
      <w:r>
        <w:t xml:space="preserve"> The gatekeeper fan-out size class (Section 3.2) and the gatekeeper’s own hold (Section 3.3) were not removed in any build.</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