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 Capture Device, Credential Validator and Edit Workflow</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24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eight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and per-manufacturer anonymity sets.</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holds what it takes to link a device identity to the content. This paper gives the device and validator specification that those properties assume. It cites the properties by letter (Properties A to L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calculated rather than measured (Section 8).</w:t>
      </w:r>
    </w:p>
    <w:p>
      <w:pPr>
        <w:pStyle w:val="BodyText"/>
      </w:pPr>
      <w:r>
        <w:t xml:space="preserve">Section 10 states governance requirements.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the device’s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checks that the token’s binding hash matches Enc_FullPacketHash,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 Figure 3 shows which key protects each message.</w:t>
      </w:r>
    </w:p>
    <w:p>
      <w:pPr>
        <w:pStyle w:val="Figure"/>
        <w:keepNext/>
        <w:jc w:val="center"/>
      </w:pPr>
      <w:r>
        <w:drawing>
          <wp:inline distT="0" distB="0" distL="0" distR="0">
            <wp:extent cx="4443984" cy="4238875"/>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43984" cy="4238875"/>
                    </a:xfrm>
                    <a:prstGeom prst="rect">
                      <a:avLst/>
                    </a:prstGeom>
                  </pic:spPr>
                </pic:pic>
              </a:graphicData>
            </a:graphic>
          </wp:inline>
        </w:drawing>
      </w:r>
    </w:p>
    <w:p>
      <w:pPr>
        <w:pStyle w:val="ImageCaption"/>
      </w:pPr>
      <w:r>
        <w:rPr>
          <w:i/>
          <w:iCs/>
        </w:rPr>
        <w:t xml:space="preserve">Figure 1. Message flow of one transaction. The device addresses only the first relays A, D and G. The table builder assigns the second relays B, E and H. Shaded boxes are on the content channel.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4937760" cy="2696776"/>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4937760" cy="2696776"/>
                    </a:xfrm>
                    <a:prstGeom prst="rect">
                      <a:avLst/>
                    </a:prstGeom>
                  </pic:spPr>
                </pic:pic>
              </a:graphicData>
            </a:graphic>
          </wp:inline>
        </w:drawing>
      </w:r>
    </w:p>
    <w:p>
      <w:pPr>
        <w:pStyle w:val="ImageCaption"/>
      </w:pPr>
      <w:r>
        <w:rPr>
          <w:i/>
          <w:iCs/>
        </w:rPr>
        <w:t xml:space="preserve">Figure 2. Who holds what, for one transaction. A dot means the party can read the item. No party other than the device holds both an identity item and the ContentHash, except where a first relay also serves as destination F or I (Section 3.5). V cannot read FullPacketHash because it does not hold BlindShare_key.</w:t>
      </w:r>
    </w:p>
    <w:p xmlns:a="http://schemas.openxmlformats.org/drawingml/2006/main" xmlns:pic="http://schemas.openxmlformats.org/drawingml/2006/picture">
      <w:pPr>
        <w:pStyle w:val="Figure"/>
        <w:keepNext/>
        <w:jc w:val="center"/>
      </w:pPr>
      <w:r>
        <w:drawing>
          <wp:inline distT="0" distB="0" distL="0" distR="0">
            <wp:extent cx="5486400" cy="4287833"/>
            <wp:effectExtent l="0" t="0" r="0" b="0"/>
            <wp:docPr id="31" name="fig_keys.png" descr="Figure 3. Which key protects each message, and who holds which part"/>
            <wp:cNvGraphicFramePr>
              <a:graphicFrameLocks noChangeAspect="1"/>
            </wp:cNvGraphicFramePr>
            <a:graphic>
              <a:graphicData uri="http://schemas.openxmlformats.org/drawingml/2006/picture">
                <pic:pic>
                  <pic:nvPicPr>
                    <pic:cNvPr id="31" name="fig_keys.png"/>
                    <pic:cNvPicPr/>
                  </pic:nvPicPr>
                  <pic:blipFill>
                    <a:blip r:embed="rId99"/>
                    <a:stretch>
                      <a:fillRect/>
                    </a:stretch>
                  </pic:blipFill>
                  <pic:spPr>
                    <a:xfrm>
                      <a:off x="0" y="0"/>
                      <a:ext cx="5486400" cy="4287833"/>
                    </a:xfrm>
                    <a:prstGeom prst="rect">
                      <a:avLst/>
                    </a:prstGeom>
                  </pic:spPr>
                </pic:pic>
              </a:graphicData>
            </a:graphic>
          </wp:inline>
        </w:drawing>
      </w:r>
    </w:p>
    <w:p>
      <w:pPr>
        <w:pStyle w:val="ImageCaption"/>
      </w:pPr>
      <w:r>
        <w:rPr>
          <w:i/>
          <w:iCs/>
        </w:rPr>
        <w:t xml:space="preserve">Figure 3. Which key protects each message. A line passes over parties that only carry the message. Every Registry Node holds a Server Transit Key and a C-Ring key, whatever role it plays. BlindShare_key is a shared secret, so every holder is dark.</w:t>
      </w:r>
    </w:p>
    <w:p>
      <w:pPr>
        <w:pStyle w:val="BodyText"/>
        <w:spacing w:before="200"/>
      </w:pPr>
      <w:r>
        <w:t xml:space="preserve">The privacy properties, the gatekeeper quorum and the registry write rule belong to the Protocol paper and are not re-derived here.</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A Token Key is a key pair for one set of devices: they hold the public key, and the validator holds the private key and the list of their credentials.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A compromised content channel server that alters an optional field therefore produces a different FullPacketHash, which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Certified Media Processing Software (CMPS), the editing software that takes the device role in an edit (Section 5.1), obtains it as described in Section 5.2.</w:t>
      </w:r>
    </w:p>
    <w:p>
      <w:pPr>
        <w:pStyle w:val="BodyText"/>
        <w:spacing w:before="120"/>
      </w:pPr>
      <w:r>
        <w:t xml:space="preserve">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 binding_hash), where ECIES is the Elliptic Curve Integrated Encryption Scheme. The four inputs are:</w:t>
      </w:r>
    </w:p>
    <w:p>
      <w:pPr>
        <w:pStyle w:val="ListParagraph"/>
        <w:numPr>
          <w:ilvl w:val="0"/>
          <w:numId w:val="2"/>
        </w:numPr>
      </w:pPr>
      <w:r>
        <w:rPr>
          <w:b/>
        </w:rPr>
        <w:t xml:space="preserve">Cred_HW</w:t>
      </w:r>
      <w:r>
        <w:rPr/>
        <w:t xml:space="preserve">: the hardware credential (Section 3.1), 32 bytes. For an edit the CMPS puts Cred_SW in this field (Section 5.1).</w:t>
      </w:r>
      <w:r>
        <w:t xml:space="preserve"/>
      </w:r>
    </w:p>
    <w:p>
      <w:pPr>
        <w:pStyle w:val="ListParagraph"/>
        <w:numPr>
          <w:ilvl w:val="0"/>
          <w:numId w:val="2"/>
        </w:numPr>
      </w:pPr>
      <w:r>
        <w:rPr>
          <w:b/>
          <w:bCs/>
        </w:rPr>
        <w:t xml:space="preserve">replay_nonce: a 16-byte single-use nonce, made of a 15-bit UTC day count, an offline bit and 14 random bytes. The validator refuses an out-of-range date and records the nonce to detect replay (Section 4.4). It is separate from n and goes only to the validator.</w:t>
      </w:r>
    </w:p>
    <w:p>
      <w:pPr>
        <w:pStyle w:val="ListParagraph"/>
        <w:numPr>
          <w:ilvl w:val="0"/>
          <w:numId w:val="2"/>
        </w:numPr>
      </w:pPr>
      <w:r>
        <w:rPr>
          <w:b/>
        </w:rPr>
        <w:t xml:space="preserve">claim (the Processing Claim)</w:t>
      </w:r>
      <w:r>
        <w:rPr/>
        <w:t xml:space="preserve">: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w:t>
      </w:r>
    </w:p>
    <w:p>
      <w:pPr>
        <w:pStyle w:val="ListParagraph"/>
        <w:numPr>
          <w:ilvl w:val="0"/>
          <w:numId w:val="2"/>
        </w:numPr>
      </w:pPr>
      <w:r>
        <w:rPr>
          <w:b/>
        </w:rPr>
        <w:t xml:space="preserve">binding_hash</w:t>
      </w:r>
      <w:r>
        <w:rPr/>
        <w:t xml:space="preserve">: the SHA-256 hash of Enc_FullPacketHash, 32 bytes. The device computes Enc_FullPacketHash = AEAD(BlindShare_key; FullPacketHash), where AEAD is authenticated encryption with associated data and BlindShare_key is a single-use 32-byte key that the device draws for this transaction. The hash ties the token to this one FullPacketHash. The validator compares it with the Enc_FullPacketHash that C sends (Section 4.4).</w:t>
      </w:r>
    </w:p>
    <w:p>
      <w:pPr>
        <w:pStyle w:val="BodyText"/>
        <w:spacing w:before="120"/>
      </w:pPr>
      <w:r>
        <w:t xml:space="preserve">The device builds the credential packet CredP = ECIESb((GP, pk) of C; T ‖ key_ref ‖ FullPacketHash ‖ BlindShare_key), where (GP, pk) is C’s Channel Key, the blinded pair in the device routing table line the device uses for C (Section 3.6). The key_ref is an 8-byte identifier that tells the validator which Token Key and member list apply to the token (Section 4.3). C can read FullPacketHash and BlindShare_key and cannot read the token, because C does not hold V-token_sk. The validator can read the token but never receives FullPacketHash in a readable form, because C wraps it under the device’s BlindShare_key before forwarding and the validator never holds that key (Protocol Section 3.2). C cannot attach this token to a different FullPacketHash, because the binding hash in the token commits to the wrap of this one (Property L of the Protocol paper).</w:t>
      </w:r>
    </w:p>
    <w:p>
      <w:pPr>
        <w:pStyle w:val="BodyText"/>
      </w:pPr>
      <w:r>
        <w:t xml:space="preserve">Each ECIES operation encrypts one layer. Table 2 lists them, and Figure 4 shows when each is applied and opened.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xmlns:a="http://schemas.openxmlformats.org/drawingml/2006/main" xmlns:pic="http://schemas.openxmlformats.org/drawingml/2006/picture">
      <w:pPr>
        <w:pStyle w:val="Figure"/>
        <w:keepNext/>
        <w:jc w:val="center"/>
      </w:pPr>
      <w:r>
        <w:drawing>
          <wp:inline distT="0" distB="0" distL="0" distR="0">
            <wp:extent cx="5321808" cy="4550145"/>
            <wp:effectExtent l="0" t="0" r="0" b="0"/>
            <wp:docPr id="40" name="fig_layers.png" descr="Figure 4. The encryption layers on each field at each station"/>
            <wp:cNvGraphicFramePr>
              <a:graphicFrameLocks noChangeAspect="1"/>
            </wp:cNvGraphicFramePr>
            <a:graphic>
              <a:graphicData uri="http://schemas.openxmlformats.org/drawingml/2006/picture">
                <pic:pic>
                  <pic:nvPicPr>
                    <pic:cNvPr id="40" name="fig_layers.png"/>
                    <pic:cNvPicPr/>
                  </pic:nvPicPr>
                  <pic:blipFill>
                    <a:blip r:embed="rId100"/>
                    <a:stretch>
                      <a:fillRect/>
                    </a:stretch>
                  </pic:blipFill>
                  <pic:spPr>
                    <a:xfrm>
                      <a:off x="0" y="0"/>
                      <a:ext cx="5321808" cy="4550145"/>
                    </a:xfrm>
                    <a:prstGeom prst="rect">
                      <a:avLst/>
                    </a:prstGeom>
                  </pic:spPr>
                </pic:pic>
              </a:graphicData>
            </a:graphic>
          </wp:inline>
        </w:drawing>
      </w:r>
    </w:p>
    <w:p>
      <w:pPr>
        <w:pStyle w:val="ImageCaption"/>
      </w:pPr>
      <w:r>
        <w:rPr>
          <w:i/>
          <w:iCs/>
        </w:rPr>
        <w:t xml:space="preserve">Figure 4. The encryption layers on each field at each station. A bar starts at the station that applies a layer and ends at the station that opens it. Layers stack in the order applied, the first at the bottom. A relay opens the Server Transit Key layer and applies the next. The Channel Key and Token Key layers stay on until C, F or V opens them. The device draws the BlindShare_key and sends it to C. C applies the layer to FullPacketHash for the validator. Registry Node access alone protects the posting to the match board. The credential rows show one of three gatekeeper legs. The content rows show the path through F, and the path through I is the same.</w:t>
      </w:r>
    </w:p>
    <w:p>
      <w:pPr>
        <w:pStyle w:val="TableCaption"/>
      </w:pPr>
      <w:r>
        <w:rPr>
          <w:b/>
          <w:bCs/>
        </w:rPr>
        <w:t xml:space="preserve">Table 2.</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 binding_hash</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 BlindShare_key</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scalar r, computes the Generator Point GP = r·B from the X25519 base point B, and discards r. The destination checks that GP is not the identity and that ℓ·GP is the identity, where ℓ is the order of the prime-order subgroup, and returns pk = sk·GP only if the check passes.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w:t>
      </w:r>
    </w:p>
    <w:p>
      <w:pPr>
        <w:pStyle w:val="BodyText"/>
      </w:pPr>
      <w:r>
        <w:t xml:space="preserve">A holder of the table cannot tie (GP, pk) to the destination without solving a decisional Diffie-Hellman problem in the prime-order subgroup. Suppose that a holder ties two lines to one destination. Given a decisional Diffie-Hellman instance (G, xG, yG, Z), set one line to (G, xG) and the other to (yG, Z). The two lines share a secret scalar exactly when Z = xyG, so the holder distinguishes the instance, and random self-reduction extends the argument to many lines. Bellare, Boldyreva, Desai and Pointcheval [17] show that ElGamal is key-private under DDH when each key has its own random generator.</w:t>
      </w:r>
    </w:p>
    <w:p>
      <w:pPr>
        <w:pStyle w:val="BodyText"/>
      </w:pPr>
      <w:r>
        <w:t xml:space="preserve">The result of [17] is for ElGamal under chosen-plaintext attack and does not cover the AEAD layer. The key-derivation function is HKDF-SHA256 (RFC 5869), with a distinct info string for each layer.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203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an operator, through the operator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any given first relay carries about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run by different operators.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routing code’s pseudonym is resolved another way, for example by a colluding B, every routing code with that pseudonym resolves to the same operator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with each node its own operator. Enumerating every combination gives 30.5%. The experiment of the Protocol paper’s Appendix D allows every such coincidence and reports the combined view of a node that holds several roles. It applies no jurisdiction filter and no skew, it does not model the pseudonym grouping, and its first-relay vantage is not told which destination a routing code leads to.</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within a common class, and the fan-out to a larger class (sizes in Section 7.3). Section 7 gives the reason for each setting.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the random bytes of replay_nonce, BlindShare_key,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The pool is a 32-byte hash of four inputs. The first is the output of the platform generator. The second is the output of the random generator of the device’s TPM or secure element, where the device has one. The third is CPU timing jitter, collected over many samples by a maintained library. The fourth is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C computes by encrypting FullPacketHash under BlindShare_key. The validator never holds BlindShare_key, so it cannot read FullPacketHash.</w:t>
      </w:r>
    </w:p>
    <w:p>
      <w:pPr>
        <w:pStyle w:val="BodyText"/>
      </w:pPr>
      <w:r>
        <w:t xml:space="preserve">For each message the validator takes six steps. (1) It decrypts the transit wrapper, then decrypts T with the V-token_sk of the Token Key that key_ref names, to obtain the credential (Cred_HW, or Cred_SW for an edit), replay_nonce and claim. (2) It checks that the credential is on that Token Key’s member list. (3) It hashes the Enc_FullPacketHash that C sent with SHA-256 and checks that the result equals the binding hash in the token, which ties the token to the submission. (4) It checks that the date of replay_nonce is in the accepted range and that the nonce is not already in its nonce table, then records it there, and records the tx_id, the date and the member-list reference in its transaction log. (5) It holds the message for a random time (Section 7). (6) If all three checks passed, it computes verdict = judge(claim), ring-signs verdict ‖ Enc_FullPacketHash over V-Ring with V-sign_sk, and replies with the verdict and the signature. If any check failed, it replies REJECTED with no signature, padded to the same size class as a verdict.</w:t>
      </w:r>
    </w:p>
    <w:p>
      <w:pPr>
        <w:pStyle w:val="BodyText"/>
      </w:pPr>
      <w:r>
        <w:t xml:space="preserve">A verdict with a Modification Flag bit set is a flagged record, not a rejection. Only an unregistered credential, a binding hash that does not match, or a replayed or out-of-range nonce is rejected.</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and the transaction log of Section 4.4, and holds nothing else. It holds no mapping from a device to a token, and no field that links a device to content.</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inspected directly by an independent party, who co-signs with the operator an attestation that the schema supports membership queries and the transaction log only. The attestation is posted to the registry and does not change. A later audit compares the current schema with that record, so a discrepancy is provably after certification. How audits run is outside this paper (Section 10).</w:t>
      </w:r>
    </w:p>
    <w:p>
      <w:pPr>
        <w:pStyle w:val="BodyText"/>
      </w:pPr>
      <w:r>
        <w:t xml:space="preserve">The validator also relies on these tables.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Table and Transaction Log</w:t>
      </w:r>
    </w:p>
    <w:p>
      <w:pPr>
        <w:pStyle w:val="BodyText"/>
      </w:pPr>
      <w:r>
        <w:t xml:space="preserve">The replay_nonce carries the UTC date of its token and one bit that says whether the device was offline when it built the token, followed by 14 random bytes. The device builds the token at capture, so the date is the capture date. For an online token the validator accepts yesterday, today and tomorrow. For an offline token it accepts the dates from 365 days ago through tomorrow. It refuses a nonce already in its nonce table. The check and the record are one atomic step, so two simultaneous submissions that carry the same nonce cannot both pass. It keeps each nonce until its date leaves the accepted range. A nonce from a date outside the range is refused whatever the table holds.</w:t>
      </w:r>
    </w:p>
    <w:p>
      <w:pPr>
        <w:pStyle w:val="BodyText"/>
      </w:pPr>
      <w:r>
        <w:t xml:space="preserve">The transaction log records, for each accepted transaction, the tx_id, the transaction date and a reference to the member-list entry that the membership check matched. It is kept for up to three years. The entry holds no time of day and no ContentHash, FullPacketHash or Enc_FullPacketHash. A reader of the log learns which devices submitted on which dates and nothing about content. The operator should keep any operational timestamps in coarse windows (Protocol Section 6.2).</w:t>
      </w:r>
    </w:p>
    <w:p>
      <w:pPr>
        <w:pStyle w:val="Heading2"/>
      </w:pPr>
      <w:r>
        <w:rPr>
          <w:b/>
          <w:bCs/>
        </w:rPr>
        <w:t xml:space="preserve">4.5 Modification Verdict</w:t>
      </w:r>
    </w:p>
    <w:p>
      <w:pPr>
        <w:pStyle w:val="BodyText"/>
      </w:pPr>
      <w:r>
        <w:t xml:space="preserve">The verdict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policy reads only the claim, which the validator already holds. No other party needs to see it.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concentration.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w:t>
      </w:r>
    </w:p>
    <w:p>
      <w:pPr>
        <w:pStyle w:val="BodyText"/>
      </w:pPr>
      <w:r>
        <w:t xml:space="preserve">On a desktop, registration uses the standard TPM 2.0 attestation chain in two steps:</w:t>
      </w:r>
    </w:p>
    <w:p>
      <w:pPr>
        <w:pStyle w:val="ListParagraph"/>
        <w:numPr>
          <w:ilvl w:val="0"/>
          <w:numId w:val="3"/>
        </w:numPr>
      </w:pPr>
      <w:r>
        <w:t xml:space="preserve">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w:t>
      </w:r>
    </w:p>
    <w:p>
      <w:pPr>
        <w:pStyle w:val="ListParagraph"/>
        <w:numPr>
          <w:ilvl w:val="0"/>
          <w:numId w:val="3"/>
        </w:numPr>
      </w:pPr>
      <w:r>
        <w:t xml:space="preserve">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w:t>
      </w:r>
    </w:p>
    <w:p>
      <w:pPr>
        <w:pStyle w:val="BodyText"/>
        <w:spacing w:before="120"/>
      </w:pPr>
      <w:r>
        <w:t xml:space="preserve">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bulk registration and does not prevent it. It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5 shows a chain of two edits.</w:t>
      </w:r>
    </w:p>
    <w:p>
      <w:pPr>
        <w:pStyle w:val="Figure"/>
        <w:keepNext/>
        <w:jc w:val="center"/>
      </w:pPr>
      <w:r>
        <w:drawing>
          <wp:inline distT="0" distB="0" distL="0" distR="0">
            <wp:extent cx="5486400" cy="2447778"/>
            <wp:effectExtent t="0" r="0" b="0" l="0"/>
            <wp:docPr id="1" name="fig2.png" descr="Figure 5.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5. An edit chain: a camera capture followed by two edits.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valid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 simulation of timing and traffic analysis (its Appendix D). This section gives the parameters behind it and says what it does not test. It does not restate the experiment.</w:t>
      </w:r>
    </w:p>
    <w:p>
      <w:pPr>
        <w:pStyle w:val="BodyText"/>
      </w:pPr>
      <w:r>
        <w:t xml:space="preserve">With 100 decoy transactions in flight, a passive observer names the device 4.77 percent of the time with one real transaction in flight and 2.02 percent with 150. The best-placed component, a content channel server, names it 5.53 and 2.39 percent of the time. No vantage can pick out a subset of its own guesses that is right more than half the time. Whether any deployment change would reduce the observer’s rate has not been tested.</w:t>
      </w:r>
      <w:r>
        <w:t xml:space="preserve"/>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3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3.</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First relays (A, D, G)</w:t>
            </w:r>
          </w:p>
        </w:tc>
        <w:tc>
          <w:tcPr>
            <w:tcW w:w="1207" w:type="dxa"/>
            <w:tcBorders>
              <w:bottom w:val="single" w:sz="2" w:space="0" w:color="BFBFBF"/>
            </w:tcBorders>
            <w:vAlign w:val="top"/>
          </w:tcPr>
          <w:p>
            <w:pPr>
              <w:pStyle w:val="TableText"/>
            </w:pPr>
            <w:r>
              <w:t xml:space="preserve">60 s</w:t>
            </w:r>
          </w:p>
        </w:tc>
        <w:tc>
          <w:tcPr>
            <w:tcW w:w="4532" w:type="dxa"/>
            <w:tcBorders>
              <w:bottom w:val="single" w:sz="2" w:space="0" w:color="BFBFBF"/>
            </w:tcBorders>
            <w:vAlign w:val="top"/>
          </w:tcPr>
          <w:p>
            <w:pPr>
              <w:pStyle w:val="TableText"/>
            </w:pPr>
            <w:r>
              <w:t xml:space="preserve">A relay cannot tell which path it is on, so its mean depends on its hop position only. A first relay re-encrypts the routing code with the payload.</w:t>
            </w:r>
          </w:p>
        </w:tc>
      </w:tr>
      <w:tr>
        <w:trPr>
          <w:cantSplit/>
        </w:trPr>
        <w:tc>
          <w:tcPr>
            <w:tcW w:w="3621" w:type="dxa"/>
            <w:tcBorders>
              <w:bottom w:val="single" w:sz="2" w:space="0" w:color="BFBFBF"/>
            </w:tcBorders>
            <w:vAlign w:val="top"/>
          </w:tcPr>
          <w:p>
            <w:pPr>
              <w:pStyle w:val="TableText"/>
            </w:pPr>
            <w:r>
              <w:t xml:space="preserve">Second relays (B, E, H)</w:t>
            </w:r>
          </w:p>
        </w:tc>
        <w:tc>
          <w:tcPr>
            <w:tcW w:w="1207" w:type="dxa"/>
            <w:tcBorders>
              <w:bottom w:val="single" w:sz="2" w:space="0" w:color="BFBFBF"/>
            </w:tcBorders>
            <w:vAlign w:val="top"/>
          </w:tcPr>
          <w:p>
            <w:pPr>
              <w:pStyle w:val="TableText"/>
            </w:pPr>
            <w:r>
              <w:t xml:space="preserve">300 s</w:t>
            </w:r>
          </w:p>
        </w:tc>
        <w:tc>
          <w:tcPr>
            <w:tcW w:w="4532" w:type="dxa"/>
            <w:tcBorders>
              <w:bottom w:val="single" w:sz="2" w:space="0" w:color="BFBFBF"/>
            </w:tcBorders>
            <w:vAlign w:val="top"/>
          </w:tcPr>
          <w:p>
            <w:pPr>
              <w:pStyle w:val="TableText"/>
            </w:pPr>
            <w:r>
              <w:t xml:space="preserve">A second relay forwards the payload alone. The two relay means add to 360 s along every path.</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20 s per draw</w:t>
            </w:r>
          </w:p>
        </w:tc>
        <w:tc>
          <w:tcPr>
            <w:tcW w:w="4532" w:type="dxa"/>
            <w:tcBorders>
              <w:bottom w:val="single" w:sz="2" w:space="0" w:color="BFBFBF"/>
            </w:tcBorders>
            <w:vAlign w:val="top"/>
          </w:tcPr>
          <w:p>
            <w:pPr>
              <w:pStyle w:val="TableText"/>
            </w:pPr>
            <w:r>
              <w:t xml:space="preserve">One draw at a time, so the three legs leave one after another.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spacing w:before="200"/>
      </w:pPr>
      <w:r>
        <w:t xml:space="preserve">The Protocol paper measures the holds as one set and does not attribute its result to any single hold. With every hold, lottery and schedule set to zero, the combined view of a node names the device 2.57 percent of the time with one real transaction in flight, against 1.49 percent for the observer (chance 0.55 percent), and it fails the claim criterion. With the holds in Table 3 it passes.</w:t>
      </w:r>
    </w:p>
    <w:p>
      <w:pPr>
        <w:pStyle w:val="Heading2"/>
      </w:pPr>
      <w:r>
        <w:rPr>
          <w:b/>
          <w:bCs/>
        </w:rPr>
        <w:t xml:space="preserve">7.2 Latency Cost</w:t>
      </w:r>
    </w:p>
    <w:p>
      <w:pPr>
        <w:pStyle w:val="BodyText"/>
      </w:pPr>
      <w:r>
        <w:t xml:space="preserve">In simulation the mean time from capture to finalization is 1,159 seconds with one real transaction in flight and 1,166 seconds with 150, about 19 minutes. The longest observed is 2,317 seconds, about 39 minutes. A photographer should expect a record to appear on that scale, not at once. The holds in Table 3 are deployment parameters, and each adds time to the record.</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317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About one hundred decoy transactions from registered decoy identities are in flight on average.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4 shows the arithmetic for 1,000 candidates. </w:t>
      </w:r>
      <w:r>
        <w:t xml:space="preserve">It is illustrative, not measured.</w:t>
      </w:r>
    </w:p>
    <w:p>
      <w:pPr>
        <w:pStyle w:val="TableCaption"/>
      </w:pPr>
      <w:r>
        <w:rPr>
          <w:b/>
          <w:bCs/>
        </w:rPr>
        <w:t xml:space="preserve">Table 4.</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The argument that edits leave the timing structure unchanged has three parts.</w:t>
      </w:r>
      <w:r>
        <w:t xml:space="preserve"> Every leg is padded to its class. Optional fields add 32 bytes each and fit inside the padding.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p>
    <w:p>
      <w:pPr>
        <w:pStyle w:val="Heading2"/>
      </w:pPr>
      <w:r>
        <w:rPr>
          <w:b/>
          <w:bCs/>
        </w:rPr>
        <w:t xml:space="preserve">8.1 Primitives</w:t>
      </w:r>
    </w:p>
    <w:p>
      <w:pPr>
        <w:pStyle w:val="BodyText"/>
      </w:pPr>
      <w:r>
        <w:t xml:space="preserve">A capture needs seven ECIES encryptions (Table 2,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so its figure is a floor. Hekate, a prover with zero-knowledge on, takes 949 ms for a 127.9 KiB SHA-256 message on an iPhone 14 Pro Max [19]. The figure is vendor-reported. At its marginal rate of about 7 ms per KiB, a 30 MB file takes about 200 to 220 seconds. That is a projection, not a measurement.</w:t>
      </w:r>
    </w:p>
    <w:p>
      <w:pPr>
        <w:pStyle w:val="BodyText"/>
      </w:pPr>
      <w:r>
        <w:t xml:space="preserve">The worst case of this design, 430 to 600 ms, is about 19 to 26 times faster than the Flock figure and about 340 to 510 times faster than the Hekate projection. On a server, the SNARK libraries tested in zk-Bench take 8 to 134 seconds and 9 to 15 GB of memory to prove a 16 kB SHA-256 input [18], so a single circuit over a 30 MB file does not fit.</w:t>
      </w:r>
    </w:p>
    <w:p>
      <w:pPr>
        <w:pStyle w:val="BodyText"/>
      </w:pPr>
      <w:r>
        <w:t xml:space="preserve">The ratios compare a camera’s hashing time with a prover’s time on a desktop core or a phone, so on camera hardware, which cannot run such a prover at that speed, they understate the gap.</w:t>
      </w:r>
      <w:r>
        <w:t xml:space="preserve"> The cost argument is made for camera-class hardware. This design’s hashing is not benchmarked on phones or desktops, and their faster processors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property this design has: the system holds no media content, so no party can attribute content, whatever the protocol layer.</w:t>
      </w:r>
      <w:r>
        <w:t xml:space="preserve"> No DAA scheme is benchmarked.</w:t>
      </w:r>
    </w:p>
    <w:p>
      <w:pPr>
        <w:pStyle w:val="Heading2"/>
      </w:pPr>
      <w:r>
        <w:rPr>
          <w:b/>
          <w:bCs/>
        </w:rPr>
        <w:t xml:space="preserve">8.5 What Is Not Measured</w:t>
      </w:r>
    </w:p>
    <w:p>
      <w:pPr>
        <w:pStyle w:val="BodyText"/>
      </w:pPr>
      <w:r>
        <w:t xml:space="preserve">A benchmark on named hardware would turn the calculations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5 maps the elements.</w:t>
      </w:r>
    </w:p>
    <w:p>
      <w:pPr>
        <w:pStyle w:val="TableCaption"/>
      </w:pPr>
      <w:r>
        <w:rPr>
          <w:b/>
          <w:bCs/>
        </w:rPr>
        <w:t xml:space="preserve">Table 5.</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preserves the independence and discard constraints that the structure assumes. The Protocol paper relies on it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6.</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and the transaction log only.</w:t>
            </w:r>
          </w:p>
        </w:tc>
        <w:tc>
          <w:tcPr>
            <w:tcW w:w="1374" w:type="dxa"/>
            <w:tcBorders>
              <w:bottom w:val="single" w:sz="2" w:space="0" w:color="BFBFBF"/>
            </w:tcBorders>
            <w:vAlign w:val="top"/>
          </w:tcPr>
          <w:p>
            <w:pPr>
              <w:pStyle w:val="TableText"/>
              <w:keepNext/>
            </w:pPr>
            <w:r>
              <w:t xml:space="preserve">Section 4.3</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Sections 4.2, 4.3</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7.</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J and K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2" w:space="0" w:color="BFBFBF"/>
            </w:tcBorders>
            <w:vAlign w:val="top"/>
          </w:tcPr>
          <w:p>
            <w:pPr>
              <w:pStyle w:val="TableText"/>
              <w:keepNext/>
            </w:pPr>
            <w:r>
              <w:t xml:space="preserve">A compromised C attaching a genuine token to another FullPacketHash</w:t>
            </w:r>
          </w:p>
        </w:tc>
        <w:tc>
          <w:tcPr>
            <w:tcW w:w="3993" w:type="dxa"/>
            <w:tcBorders>
              <w:bottom w:val="single" w:sz="2" w:space="0" w:color="BFBFBF"/>
            </w:tcBorders>
            <w:vAlign w:val="top"/>
          </w:tcPr>
          <w:p>
            <w:pPr>
              <w:pStyle w:val="TableText"/>
              <w:keepNext/>
            </w:pPr>
            <w:r>
              <w:t xml:space="preserve">Property L holds: the validator issues a verdict only for a wrapped FullPacketHash that the device committed to.</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In place of consortium governance, a validator must provide schema attestation, key revocation and transaction-log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valid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rest on a decisional Diffie-Hellman argument that covers ElGamal and not the AEAD layer. The key-derivation function is not analyzed,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the nonce table and the transaction log,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transaction log of dates and member-list references for up to three years.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calculated from published benchmarks, and no figure is measured on this design. The open parts of the device, the validator and the routing are the phone credential, the review of the blinded keys, the routing table’s jurisdiction handling, the bucket boundaries, the drain window and minimum size of a Token Key, the decoy claim mix, and recovery for a transaction that fails after the credential packet reaches its first relay. The open parts of the edit workflow and the analysis are the registration of editing credentials, the operator and the list of operations of an open-source checker,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designed the protocol before using any language model. The author then used Anthropic’s Claude (Sonnet 4.6, 5.0 and 5.5, and Opus 5.5) to draft and revise the manuscript, to write the simulation and enumeration scripts behind the figures in Section 3.9, and to check the manuscript for internal consistency and references. The author also used ChatGPT for adversarial review. The author made all design decisions, evaluated each suggestion,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Ryan, S. The Birthmark Protocol: Achieving Semantic Non-Assembly in Media Provenance. arXiv:2606.22311, 2026. (arXiv preprint; not independently peer-reviewed.)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BodyText"/>
      </w:pPr>
      <w:r>
        <w:t xml:space="preserve">[17] Bellare, M.; Boldyreva, A.; Desai, A.; Pointcheval, D. Key-Privacy in Public-Key Encryption. ASIACRYPT 2001, LNCS vol. 2248, pp. 566–582. DOI: 10.1007/3-540-45682-1_33.</w:t>
      </w:r>
    </w:p>
    <w:p>
      <w:pPr>
        <w:pStyle w:val="BodyText"/>
      </w:pPr>
      <w:r>
        <w:t xml:space="preserve">[18]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[19] Oumuamua Labs. Mobile ZK Benchmarks (hekate-mobile 0.3.0). https://oumuamua.dev/mobile/benchmarks, published 12 October 2026, accessed 24 October 2026. Vendor-reported; not peer reviewed.</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900"/>
        <w:gridCol w:w="1400"/>
        <w:gridCol w:w="5060"/>
      </w:tblGrid>
      <w:tr>
        <w:trPr>
          <w:cantSplit/>
          <w:tblHeader w:val="true"/>
        </w:trPr>
        <w:tc>
          <w:tcPr>
            <w:tcW w:w="2900" w:type="dxa"/>
            <w:tcBorders>
              <w:top w:val="single" w:sz="12" w:space="0" w:color="000000"/>
              <w:bottom w:val="single" w:sz="6" w:space="0" w:color="000000"/>
            </w:tcBorders>
            <w:vAlign w:val="bottom"/>
          </w:tcPr>
          <w:p>
            <w:pPr>
              <w:pStyle w:val="TableText"/>
              <w:keepNext/>
            </w:pPr>
            <w:r>
              <w:rPr>
                <w:b/>
                <w:bCs/>
              </w:rPr>
              <w:t xml:space="preserve">Field</w:t>
            </w:r>
          </w:p>
        </w:tc>
        <w:tc>
          <w:tcPr>
            <w:tcW w:w="1400" w:type="dxa"/>
            <w:tcBorders>
              <w:top w:val="single" w:sz="12" w:space="0" w:color="000000"/>
              <w:bottom w:val="single" w:sz="6" w:space="0" w:color="000000"/>
            </w:tcBorders>
            <w:vAlign w:val="bottom"/>
          </w:tcPr>
          <w:p>
            <w:pPr>
              <w:pStyle w:val="TableText"/>
              <w:keepNext/>
            </w:pPr>
            <w:r>
              <w:rPr>
                <w:b/>
                <w:bCs/>
              </w:rPr>
              <w:t xml:space="preserve">Size</w:t>
            </w:r>
          </w:p>
        </w:tc>
        <w:tc>
          <w:tcPr>
            <w:tcW w:w="5060"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900" w:type="dxa"/>
            <w:tcBorders>
              <w:bottom w:val="single" w:sz="2" w:space="0" w:color="BFBFBF"/>
            </w:tcBorders>
            <w:vAlign w:val="top"/>
          </w:tcPr>
          <w:p>
            <w:pPr>
              <w:pStyle w:val="TableText"/>
              <w:keepNext/>
            </w:pPr>
            <w:r>
              <w:t xml:space="preserve">Cred_HW, Cred_SW</w:t>
            </w:r>
          </w:p>
        </w:tc>
        <w:tc>
          <w:tcPr>
            <w:tcW w:w="1400" w:type="dxa"/>
            <w:tcBorders>
              <w:bottom w:val="single" w:sz="2" w:space="0" w:color="BFBFBF"/>
            </w:tcBorders>
            <w:vAlign w:val="top"/>
          </w:tcPr>
          <w:p>
            <w:pPr>
              <w:pStyle w:val="TableText"/>
              <w:keepNext/>
            </w:pPr>
            <w:r>
              <w:t xml:space="preserve">32 B</w:t>
            </w:r>
          </w:p>
        </w:tc>
        <w:tc>
          <w:tcPr>
            <w:tcW w:w="5060" w:type="dxa"/>
            <w:tcBorders>
              <w:bottom w:val="single" w:sz="2" w:space="0" w:color="BFBFBF"/>
            </w:tcBorders>
            <w:vAlign w:val="top"/>
          </w:tcPr>
          <w:p>
            <w:pPr>
              <w:pStyle w:val="TableText"/>
              <w:keepNext/>
            </w:pPr>
            <w:r>
              <w:t xml:space="preserve">Secret credential. Estimate. </w:t>
            </w:r>
          </w:p>
        </w:tc>
      </w:tr>
      <w:tr>
        <w:trPr>
          <w:cantSplit/>
        </w:trPr>
        <w:tc>
          <w:tcPr>
            <w:tcW w:w="2900" w:type="dxa"/>
            <w:tcBorders>
              <w:bottom w:val="single" w:sz="2" w:space="0" w:color="BFBFBF"/>
            </w:tcBorders>
            <w:vAlign w:val="top"/>
          </w:tcPr>
          <w:p>
            <w:pPr>
              <w:pStyle w:val="TableText"/>
            </w:pPr>
            <w:r>
              <w:t xml:space="preserve">key_ref</w:t>
            </w:r>
          </w:p>
        </w:tc>
        <w:tc>
          <w:tcPr>
            <w:tcW w:w="1400" w:type="dxa"/>
            <w:tcBorders>
              <w:bottom w:val="single" w:sz="2" w:space="0" w:color="BFBFBF"/>
            </w:tcBorders>
            <w:vAlign w:val="top"/>
          </w:tcPr>
          <w:p>
            <w:pPr>
              <w:pStyle w:val="TableText"/>
            </w:pPr>
            <w:r>
              <w:t xml:space="preserve">8 B</w:t>
            </w:r>
          </w:p>
        </w:tc>
        <w:tc>
          <w:tcPr>
            <w:tcW w:w="5060" w:type="dxa"/>
            <w:tcBorders>
              <w:bottom w:val="single" w:sz="2" w:space="0" w:color="BFBFBF"/>
            </w:tcBorders>
            <w:vAlign w:val="top"/>
          </w:tcPr>
          <w:p>
            <w:pPr>
              <w:pStyle w:val="TableText"/>
            </w:pPr>
            <w:r>
              <w:t xml:space="preserve">Estimate.</w:t>
            </w:r>
          </w:p>
        </w:tc>
      </w:tr>
      <w:tr>
        <w:trPr>
          <w:cantSplit/>
        </w:trPr>
        <w:tc>
          <w:tcPr>
            <w:tcW w:w="2900" w:type="dxa"/>
            <w:tcBorders>
              <w:bottom w:val="single" w:sz="2" w:space="0" w:color="BFBFBF"/>
            </w:tcBorders>
            <w:vAlign w:val="top"/>
          </w:tcPr>
          <w:p>
            <w:pPr>
              <w:pStyle w:val="TableText"/>
            </w:pPr>
            <w:r>
              <w:t xml:space="preserve">n</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128-bit random.</w:t>
            </w:r>
          </w:p>
        </w:tc>
      </w:tr>
      <w:tr>
        <w:trPr>
          <w:cantSplit/>
        </w:trPr>
        <w:tc>
          <w:tcPr>
            <w:tcW w:w="2900" w:type="dxa"/>
            <w:tcBorders>
              <w:bottom w:val="single" w:sz="2" w:space="0" w:color="BFBFBF"/>
            </w:tcBorders>
            <w:vAlign w:val="top"/>
          </w:tcPr>
          <w:p>
            <w:pPr>
              <w:pStyle w:val="TableText"/>
            </w:pPr>
            <w:r>
              <w:t xml:space="preserve">replay_nonce</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15-bit UTC day count, offline bit and 14 random bytes.</w:t>
            </w:r>
          </w:p>
        </w:tc>
      </w:tr>
      <w:tr>
        <w:trPr>
          <w:cantSplit/>
        </w:trPr>
        <w:tc>
          <w:tcPr>
            <w:tcW w:w="2900" w:type="dxa"/>
            <w:tcBorders>
              <w:bottom w:val="single" w:sz="2" w:space="0" w:color="BFBFBF"/>
            </w:tcBorders>
            <w:vAlign w:val="top"/>
          </w:tcPr>
          <w:p>
            <w:pPr>
              <w:pStyle w:val="TableText"/>
            </w:pPr>
            <w:r>
              <w:t xml:space="preserve">claim</w:t>
            </w:r>
          </w:p>
        </w:tc>
        <w:tc>
          <w:tcPr>
            <w:tcW w:w="1400" w:type="dxa"/>
            <w:tcBorders>
              <w:bottom w:val="single" w:sz="2" w:space="0" w:color="BFBFBF"/>
            </w:tcBorders>
            <w:vAlign w:val="top"/>
          </w:tcPr>
          <w:p>
            <w:pPr>
              <w:pStyle w:val="TableText"/>
            </w:pPr>
            <w:r>
              <w:t xml:space="preserve">2 B</w:t>
            </w:r>
          </w:p>
        </w:tc>
        <w:tc>
          <w:tcPr>
            <w:tcW w:w="5060"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900" w:type="dxa"/>
            <w:tcBorders>
              <w:bottom w:val="single" w:sz="2" w:space="0" w:color="BFBFBF"/>
            </w:tcBorders>
            <w:vAlign w:val="top"/>
          </w:tcPr>
          <w:p>
            <w:pPr>
              <w:pStyle w:val="TableText"/>
            </w:pPr>
            <w:r>
              <w:t xml:space="preserve">tx_id</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Random, generated by C.</w:t>
            </w:r>
          </w:p>
        </w:tc>
      </w:tr>
      <w:tr>
        <w:trPr>
          <w:cantSplit/>
        </w:trPr>
        <w:tc>
          <w:tcPr>
            <w:tcW w:w="2900" w:type="dxa"/>
            <w:tcBorders>
              <w:bottom w:val="single" w:sz="2" w:space="0" w:color="BFBFBF"/>
            </w:tcBorders>
            <w:vAlign w:val="top"/>
          </w:tcPr>
          <w:p>
            <w:pPr>
              <w:pStyle w:val="TableText"/>
            </w:pPr>
            <w:r>
              <w:t xml:space="preserve">flags</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900" w:type="dxa"/>
            <w:tcBorders>
              <w:bottom w:val="single" w:sz="2" w:space="0" w:color="BFBFBF"/>
            </w:tcBorders>
            <w:vAlign w:val="top"/>
          </w:tcPr>
          <w:p>
            <w:pPr>
              <w:pStyle w:val="TableText"/>
            </w:pPr>
            <w:r>
              <w:t xml:space="preserve">verdict</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900" w:type="dxa"/>
            <w:tcBorders>
              <w:bottom w:val="single" w:sz="2" w:space="0" w:color="BFBFBF"/>
            </w:tcBorders>
            <w:vAlign w:val="top"/>
          </w:tcPr>
          <w:p>
            <w:pPr>
              <w:pStyle w:val="TableText"/>
            </w:pPr>
            <w:r>
              <w:t xml:space="preserve">ContentHash, FullPacketHash, h(metadata), parent ContentHash, binding_hash, BlindShare_key</w:t>
            </w:r>
          </w:p>
        </w:tc>
        <w:tc>
          <w:tcPr>
            <w:tcW w:w="1400" w:type="dxa"/>
            <w:tcBorders>
              <w:bottom w:val="single" w:sz="2" w:space="0" w:color="BFBFBF"/>
            </w:tcBorders>
            <w:vAlign w:val="top"/>
          </w:tcPr>
          <w:p>
            <w:pPr>
              <w:pStyle w:val="TableText"/>
            </w:pPr>
            <w:r>
              <w:t xml:space="preserve">32 B each</w:t>
            </w:r>
          </w:p>
        </w:tc>
        <w:tc>
          <w:tcPr>
            <w:tcW w:w="5060" w:type="dxa"/>
            <w:tcBorders>
              <w:bottom w:val="single" w:sz="2" w:space="0" w:color="BFBFBF"/>
            </w:tcBorders>
            <w:vAlign w:val="top"/>
          </w:tcPr>
          <w:p>
            <w:pPr>
              <w:pStyle w:val="TableText"/>
            </w:pPr>
            <w:r>
              <w:t xml:space="preserve">SHA-256 outputs, and a 256-bit AEAD key.</w:t>
            </w:r>
          </w:p>
        </w:tc>
      </w:tr>
      <w:tr>
        <w:trPr>
          <w:cantSplit/>
        </w:trPr>
        <w:tc>
          <w:tcPr>
            <w:tcW w:w="2900" w:type="dxa"/>
            <w:tcBorders>
              <w:bottom w:val="single" w:sz="2" w:space="0" w:color="BFBFBF"/>
            </w:tcBorders>
            <w:vAlign w:val="top"/>
          </w:tcPr>
          <w:p>
            <w:pPr>
              <w:pStyle w:val="TableText"/>
            </w:pPr>
            <w:r>
              <w:t xml:space="preserve">Enc_FullPacketHash</w:t>
            </w:r>
          </w:p>
        </w:tc>
        <w:tc>
          <w:tcPr>
            <w:tcW w:w="1400" w:type="dxa"/>
            <w:tcBorders>
              <w:bottom w:val="single" w:sz="2" w:space="0" w:color="BFBFBF"/>
            </w:tcBorders>
            <w:vAlign w:val="top"/>
          </w:tcPr>
          <w:p>
            <w:pPr>
              <w:pStyle w:val="TableText"/>
            </w:pPr>
            <w:r>
              <w:t xml:space="preserve">48 B</w:t>
            </w:r>
          </w:p>
        </w:tc>
        <w:tc>
          <w:tcPr>
            <w:tcW w:w="5060" w:type="dxa"/>
            <w:tcBorders>
              <w:bottom w:val="single" w:sz="2" w:space="0" w:color="BFBFBF"/>
            </w:tcBorders>
            <w:vAlign w:val="top"/>
          </w:tcPr>
          <w:p>
            <w:pPr>
              <w:pStyle w:val="TableText"/>
            </w:pPr>
            <w:r>
              <w:t xml:space="preserve">AEAD(BlindShare_key; FullPacketHash): 32 B plus a 16 B tag. A fixed AEAD nonce is safe because BlindShare_key is single-use. The device, C and the gatekeepers compute it from the same inputs and get the same bytes.</w:t>
            </w:r>
          </w:p>
        </w:tc>
      </w:tr>
      <w:tr>
        <w:trPr>
          <w:cantSplit/>
        </w:trPr>
        <w:tc>
          <w:tcPr>
            <w:tcW w:w="2900" w:type="dxa"/>
            <w:tcBorders>
              <w:bottom w:val="single" w:sz="2" w:space="0" w:color="BFBFBF"/>
            </w:tcBorders>
            <w:vAlign w:val="top"/>
          </w:tcPr>
          <w:p>
            <w:pPr>
              <w:pStyle w:val="TableText"/>
            </w:pPr>
            <w:r>
              <w:t xml:space="preserve">Routing code rc</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Per-transaction identifier for a destination.</w:t>
            </w:r>
          </w:p>
        </w:tc>
      </w:tr>
      <w:tr>
        <w:trPr>
          <w:cantSplit/>
        </w:trPr>
        <w:tc>
          <w:tcPr>
            <w:tcW w:w="2900" w:type="dxa"/>
            <w:tcBorders>
              <w:bottom w:val="single" w:sz="2" w:space="0" w:color="BFBFBF"/>
            </w:tcBorders>
            <w:vAlign w:val="top"/>
          </w:tcPr>
          <w:p>
            <w:pPr>
              <w:pStyle w:val="TableText"/>
            </w:pPr>
            <w:r>
              <w:t xml:space="preserve">ECIES overhead</w:t>
            </w:r>
          </w:p>
        </w:tc>
        <w:tc>
          <w:tcPr>
            <w:tcW w:w="1400" w:type="dxa"/>
            <w:tcBorders>
              <w:bottom w:val="single" w:sz="2" w:space="0" w:color="BFBFBF"/>
            </w:tcBorders>
            <w:vAlign w:val="top"/>
          </w:tcPr>
          <w:p>
            <w:pPr>
              <w:pStyle w:val="TableText"/>
            </w:pPr>
            <w:r>
              <w:t xml:space="preserve">49 B</w:t>
            </w:r>
          </w:p>
        </w:tc>
        <w:tc>
          <w:tcPr>
            <w:tcW w:w="5060" w:type="dxa"/>
            <w:tcBorders>
              <w:bottom w:val="single" w:sz="2" w:space="0" w:color="BFBFBF"/>
            </w:tcBorders>
            <w:vAlign w:val="top"/>
          </w:tcPr>
          <w:p>
            <w:pPr>
              <w:pStyle w:val="TableText"/>
            </w:pPr>
            <w:r>
              <w:t xml:space="preserve">Per encryption. Derived from the spec’s sizes.</w:t>
            </w:r>
          </w:p>
        </w:tc>
      </w:tr>
      <w:tr>
        <w:trPr>
          <w:cantSplit/>
        </w:trPr>
        <w:tc>
          <w:tcPr>
            <w:tcW w:w="2900" w:type="dxa"/>
            <w:tcBorders>
              <w:bottom w:val="single" w:sz="2" w:space="0" w:color="BFBFBF"/>
            </w:tcBorders>
            <w:vAlign w:val="top"/>
          </w:tcPr>
          <w:p>
            <w:pPr>
              <w:pStyle w:val="TableText"/>
            </w:pPr>
            <w:r>
              <w:t xml:space="preserve">σ_V</w:t>
            </w:r>
          </w:p>
        </w:tc>
        <w:tc>
          <w:tcPr>
            <w:tcW w:w="1400" w:type="dxa"/>
            <w:tcBorders>
              <w:bottom w:val="single" w:sz="2" w:space="0" w:color="BFBFBF"/>
            </w:tcBorders>
            <w:vAlign w:val="top"/>
          </w:tcPr>
          <w:p>
            <w:pPr>
              <w:pStyle w:val="TableText"/>
            </w:pPr>
            <w:r>
              <w:t xml:space="preserve">about 64 B with one validator</w:t>
            </w:r>
          </w:p>
        </w:tc>
        <w:tc>
          <w:tcPr>
            <w:tcW w:w="5060"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900" w:type="dxa"/>
            <w:tcBorders>
              <w:bottom w:val="single" w:sz="2" w:space="0" w:color="BFBFBF"/>
            </w:tcBorders>
            <w:vAlign w:val="top"/>
          </w:tcPr>
          <w:p>
            <w:pPr>
              <w:pStyle w:val="TableText"/>
            </w:pPr>
            <w:r>
              <w:t xml:space="preserve">σ_C</w:t>
            </w:r>
          </w:p>
        </w:tc>
        <w:tc>
          <w:tcPr>
            <w:tcW w:w="1400" w:type="dxa"/>
            <w:tcBorders>
              <w:bottom w:val="single" w:sz="2" w:space="0" w:color="BFBFBF"/>
            </w:tcBorders>
            <w:vAlign w:val="top"/>
          </w:tcPr>
          <w:p>
            <w:pPr>
              <w:pStyle w:val="TableText"/>
            </w:pPr>
            <w:r>
              <w:t xml:space="preserve">576 B</w:t>
            </w:r>
          </w:p>
        </w:tc>
        <w:tc>
          <w:tcPr>
            <w:tcW w:w="5060" w:type="dxa"/>
            <w:tcBorders>
              <w:bottom w:val="single" w:sz="2" w:space="0" w:color="BFBFBF"/>
            </w:tcBorders>
            <w:vAlign w:val="top"/>
          </w:tcPr>
          <w:p>
            <w:pPr>
              <w:pStyle w:val="TableText"/>
            </w:pPr>
            <w:r>
              <w:t xml:space="preserve">C-Ring signature over a 17-node pool.</w:t>
            </w:r>
          </w:p>
        </w:tc>
      </w:tr>
      <w:tr>
        <w:trPr>
          <w:cantSplit/>
        </w:trPr>
        <w:tc>
          <w:tcPr>
            <w:tcW w:w="2900" w:type="dxa"/>
            <w:tcBorders>
              <w:bottom w:val="single" w:sz="12" w:space="0" w:color="000000"/>
            </w:tcBorders>
            <w:vAlign w:val="top"/>
          </w:tcPr>
          <w:p>
            <w:pPr>
              <w:pStyle w:val="TableText"/>
            </w:pPr>
            <w:r>
              <w:t xml:space="preserve">σ_GK, σ_F, σ_I</w:t>
            </w:r>
          </w:p>
        </w:tc>
        <w:tc>
          <w:tcPr>
            <w:tcW w:w="1400" w:type="dxa"/>
            <w:tcBorders>
              <w:bottom w:val="single" w:sz="12" w:space="0" w:color="000000"/>
            </w:tcBorders>
            <w:vAlign w:val="top"/>
          </w:tcPr>
          <w:p>
            <w:pPr>
              <w:pStyle w:val="TableText"/>
            </w:pPr>
            <w:r>
              <w:t xml:space="preserve">64 B each</w:t>
            </w:r>
          </w:p>
        </w:tc>
        <w:tc>
          <w:tcPr>
            <w:tcW w:w="5060"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317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317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301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252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One byte: the Modification Flag and the deviation bucket.</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99" Type="http://schemas.openxmlformats.org/officeDocument/2006/relationships/image" Target="media/fig_keys.png"/><Relationship Id="rId100" Type="http://schemas.openxmlformats.org/officeDocument/2006/relationships/image" Target="media/fig_layer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 Capture Device, Credential Validator and Edit Workflow</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