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rPr>
          <w:b/>
          <w:bCs/>
        </w:rPr>
        <w:t xml:space="preserve">The Birthmark Protocol: Achieving Semantic Non-Assembly in Media Provenance</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AbstractTitle"/>
      </w:pPr>
      <w:r>
        <w:rPr>
          <w:b/>
          <w:bCs/>
        </w:rPr>
        <w:t xml:space="preserve">ABSTRACT</w:t>
      </w:r>
    </w:p>
    <w:p>
      <w:pPr>
        <w:pStyle w:val="Abstract"/>
      </w:pPr>
      <w:r>
        <w:t xml:space="preserve">System compromise is now routine. A provenance system must show that content came from a registered capture device. In an ordinary design, whoever checks the device and records the content can link the two, and that link is a map of who photographed what. The Birthmark Protocol never builds the map. It splits the work across independently operated components so that no single component holds what it takes to link a device to a record, and a per-transaction key, BlindShare_key, lets the credential validator return a signed verdict on a FullPacketHash it cannot read. The design meets Semantic Non-Assembly (SNA), a criterion that asks, for each component in turn, whether an attacker holding everything that component holds can assemble the link. Correlation requires compromising components in different roles.</w:t>
      </w:r>
      <w:r>
        <w:t xml:space="preserve"> Eight privacy properties are established in the symbolic model with executable ProVerif proofs: Device Non-Correlation, Registry Observer Non-Identification, Content Channel Server Blindness, and resistance to the compromise of C, the credential validator, a content channel server, a gatekeeper, or a first relay individually (Appendices A.2 and A.3).</w:t>
      </w:r>
      <w:r>
        <w:t xml:space="preserve"> Timing and traffic analysis, which the proofs do not model, are measured in simulation (Appendix D). The simulation permits every routing coincidence the design allows, so one node can hold roles on several paths, and it scores each component alone and a node’s combined view of its roles. With 100 decoy transactions in flight, an observer holding no keys names the device behind a registry record 4.8% of the time when one real transaction is in flight and 2.0% when 150 are. The best-placed single component names it 5.5% and 2.4% of the time, and a node’s combined view names it 5.3% and 2.3% of the time on the records it can select.</w:t>
      </w:r>
      <w:r>
        <w:t xml:space="preserve"> A reference instantiation, the Birthmark Standard, records verified content in the Birthmark Media Registry and is specified for constrained capture hardware, where the zero-knowledge provers compared in Table A.3 take at least 19 times as long to prove the media hash as this design takes to compute it; its device-side cost, calculated from published benchmarks (Appendix B), is within the range of commodity embedded processors.</w:t>
      </w:r>
      <w:r>
        <w:t xml:space="preserve"> Anyone can check media against the registry, but the registry doesn’t hold the image itself or enable anyone to find out who took it.</w:t>
      </w:r>
    </w:p>
    <w:p>
      <w:pPr>
        <w:pStyle w:val="FrontMatter"/>
      </w:pPr>
      <w:r>
        <w:rPr>
          <w:b/>
          <w:bCs/>
        </w:rPr>
        <w:t xml:space="preserve">CCS Concepts: </w:t>
      </w:r>
      <w:r>
        <w:t xml:space="preserve">• Security and privacy → </w:t>
      </w:r>
      <w:r>
        <w:rPr>
          <w:i/>
          <w:iCs/>
        </w:rPr>
        <w:t xml:space="preserve">Privacy-preserving protocols</w:t>
      </w:r>
      <w:r>
        <w:t xml:space="preserve"> (Primary); </w:t>
      </w:r>
      <w:r>
        <w:rPr>
          <w:i/>
          <w:iCs/>
        </w:rPr>
        <w:t xml:space="preserve">Formal methods and theory of security</w:t>
      </w:r>
      <w:r>
        <w:t xml:space="preserve">; </w:t>
      </w:r>
      <w:r>
        <w:rPr>
          <w:i/>
          <w:iCs/>
        </w:rPr>
        <w:t xml:space="preserve">Privacy protections</w:t>
      </w:r>
      <w:r>
        <w:t xml:space="preserve">; </w:t>
      </w:r>
      <w:r>
        <w:rPr>
          <w:i/>
          <w:iCs/>
        </w:rPr>
        <w:t xml:space="preserve">Information flow control</w:t>
      </w:r>
      <w:r>
        <w:t xml:space="preserve">.</w:t>
      </w:r>
    </w:p>
    <w:p>
      <w:pPr>
        <w:pStyle w:val="FrontMatter"/>
      </w:pPr>
      <w:r>
        <w:rPr>
          <w:b/>
          <w:bCs/>
        </w:rPr>
        <w:t xml:space="preserve">Additional Keywords and Phrases: </w:t>
      </w:r>
      <w:r>
        <w:t xml:space="preserve">Birthmark Protocol, semantic non-assembly, privacy-by-design, data minimization, architectural privacy, ProVerif, media provenance, Birthmark Standard</w:t>
      </w:r>
    </w:p>
    <w:p>
      <w:pPr>
        <w:pStyle w:val="FrontMatter"/>
      </w:pPr>
      <w:r>
        <w:rPr>
          <w:b/>
          <w:bCs/>
        </w:rPr>
        <w:t xml:space="preserve">ACM Reference Format:</w:t>
      </w:r>
    </w:p>
    <w:p>
      <w:pPr>
        <w:pStyle w:val="FrontMatter"/>
      </w:pPr>
      <w:r>
        <w:t xml:space="preserve">Sam Ryan. 2026. The Birthmark Protocol: Achieving Semantic Non-Assembly in Media Provenance. </w:t>
      </w:r>
      <w:r>
        <w:rPr>
          <w:i/>
          <w:iCs/>
        </w:rPr>
        <w:t xml:space="preserve">ACM Trans. Priv. Secur.</w:t>
      </w:r>
      <w:r>
        <w:t xml:space="preserve"> 1, 1, Article 1 (October 2026), 34 pages.</w:t>
      </w:r>
      <w:r>
        <w:t xml:space="preserve"/>
      </w:r>
      <w:r>
        <w:t xml:space="preserve"> https://doi.org/XXXXXXX.XXXXXXX</w:t>
      </w:r>
    </w:p>
    <w:p>
      <w:pPr>
        <w:pStyle w:val="Heading1"/>
      </w:pPr>
      <w:r>
        <w:rPr>
          <w:b/>
          <w:bCs/>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[16].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and information flow control) address how to restrict access to sensitive information that exists somewhere in the system. When the component that holds that information is compromised, they yield what it holds. What is needed is a system in which compromising one component yields a fragment and not the link.</w:t>
      </w:r>
    </w:p>
    <w:p>
      <w:pPr>
        <w:pStyle w:val="BodyText"/>
      </w:pPr>
      <w:r>
        <w:t xml:space="preserve">Provenance shows what that exposure can cost. A breached system that links cameras to images becomes a map of who photographed what, and the journalists, activists and sources the system exists to serve are the people that map would expose to a hostile government. </w:t>
      </w:r>
      <w:r>
        <w:t xml:space="preserve">A provenance system must show that content came from a registered device. It must not let any single party link that device to that content. This paper asks: can a system be architected such that complete, authorized exposure of any single component (including full decryption of its contents) yields no information sufficient to make that link? In a threat environment where component exposure is probable, the yield of exposure is a more actionable security property than its difficulty. The Birthmark Protocol answers this question affirmatively for compromise within any one role. It never builds the map: the facts that link a device to its content are held by different, independently operated components, and each holds only what its own job requires. Semantic Non-Assembly (SNA) is the design criterion for that claim, and the protocol is built to meet it. SNA asks whether a separation worked.</w:t>
      </w:r>
    </w:p>
    <w:p>
      <w:pPr>
        <w:pStyle w:val="BodyText"/>
      </w:pPr>
      <w:r>
        <w:t xml:space="preserve">This paper makes three contributions. The first is the Birthmark Protocol, a two-channel provenance architecture that produces a public, checkable record holding nothing that identifies the capture device (Sections 3 and 4.6). The second is an evaluation method for the criterion, applied one component at a time, with ProVerif proofs of eight privacy properties (Properties A to F, J and K; Section 4 and Appendix A) and a simulation of the timing and traffic leakage the proofs do not model (Appendix D). The third is the Birthmark Standard, a reference instantiation specified for constrained capture hardware, with its device-side cost calculated from published benchmarks (Sections 5 and 6.1, Appendix B).</w:t>
      </w:r>
    </w:p>
    <w:p>
      <w:pPr>
        <w:pStyle w:val="Heading2"/>
      </w:pPr>
      <w:r>
        <w:rPr>
          <w:b/>
          <w:bCs/>
        </w:rPr>
        <w:t xml:space="preserve">1.1 Semantic Non-Assembly</w:t>
      </w:r>
    </w:p>
    <w:p>
      <w:pPr>
        <w:pStyle w:val="BodyText"/>
      </w:pPr>
      <w:r>
        <w:t xml:space="preserve">SNA is a criterion for what the compromise of a component yields. Let f be a target function. Here f maps a content item to the device that authenticated it. A component’s information state is everything it can feasibly derive from its keys, stored data and observed traffic. A system satisfies SNA for f against an adversary class if no coalition in the class holds a state from which f is feasibly computable, beyond the residual stated below. For the Birthmark Protocol, the class is every coalition of components within one role (Table 2), up to the same-role bound of Section 4.1. A coalition across roles is outside the class. SNA makes no claim about it, and Section 4.6 states what it yields. A component is one operator’s deployment of a role (Section 3.1). “Semantic” refers to the meaning level of information (what the data enables with respect to f), not to semantic security in the cryptographic sense.</w:t>
      </w:r>
      <w:r>
        <w:t xml:space="preserve"/>
      </w:r>
      <w:r>
        <w:t xml:space="preserve"/>
      </w:r>
      <w:r>
        <w:t xml:space="preserve"/>
      </w:r>
    </w:p>
    <w:p>
      <w:pPr>
        <w:pStyle w:val="BodyText"/>
      </w:pPr>
      <w:r>
        <w:t xml:space="preserve">The residual is what a component legitimately learns or derives and that is not itself the link: the verdict, a public attribute of the record; the Token Key reference, which narrows C’s candidates to one manufacturer’s devices; and the timing and size of traffic. “Beyond the residual” is tested for keys and stored data by the proofs and for timing and size by the claim criterion of Appendix D, under which no vantage can pick out a subset of its guesses that is right more than half the time.</w:t>
      </w:r>
    </w:p>
    <w:p>
      <w:pPr>
        <w:pStyle w:val="BodyText"/>
      </w:pPr>
      <w:r>
        <w:t xml:space="preserve">The paper tests the criterion two ways. Symbolic proofs check distinguishability: whether an attacker holding a component’s keys can tell two assignments of devices to content apart, with the verdict held equal in both. Simulation measures inference: how much a component’s view of timing and traffic improves its chance of naming the device over an observer holding no keys. The two tests address different leakage channels.</w:t>
      </w:r>
    </w:p>
    <w:p>
      <w:pPr>
        <w:pStyle w:val="BodyText"/>
      </w:pPr>
      <w:r>
        <w:t xml:space="preserve">A policy prohibition on co-locating sufficient information is not Semantic Non-Assembly; it is an access control rule applied to a system that has the capability to violate its privacy obligations. Semantic Non-Assembly requires that the architecture make the link structurally impossible to assemble within the adversary class, by design and not just by trust. This distinction matters for the adversary model: policy-based separation fails under insider threat or operator compromise; structural separation is overcome only by coordinated compromise across roles.</w:t>
      </w:r>
    </w:p>
    <w:p>
      <w:pPr>
        <w:pStyle w:val="BodyText"/>
      </w:pPr>
      <w:r>
        <w:t xml:space="preserve">This also means SNA is a claim about information state. A single, heavily centralized service satisfies Semantic Non-Assembly as well as many independently operated ones do, provided its own information state never lets f be computed; conversely, distributing a function across many independently operated organizations does not itself satisfy SNA if each one still holds enough to compute f alone.</w:t>
      </w:r>
    </w:p>
    <w:p>
      <w:pPr>
        <w:pStyle w:val="BodyText"/>
      </w:pPr>
      <w:r>
        <w:t xml:space="preserve">The criterion applies where the target function is defined and bounded and the designer controls which components hold which information fields. Provenance is such a case. The system exists to attest that a device is registered, and the requirement is that watching the system, even from inside one component, does not let an observer link that device to its content.</w:t>
      </w:r>
      <w:r>
        <w:t xml:space="preserve"/>
      </w:r>
    </w:p>
    <w:p>
      <w:pPr>
        <w:pStyle w:val="Heading2"/>
      </w:pPr>
      <w:r>
        <w:rPr>
          <w:b/>
          <w:bCs/>
        </w:rPr>
        <w:t xml:space="preserve">1.2 Scope</w:t>
      </w:r>
    </w:p>
    <w:p>
      <w:pPr>
        <w:pStyle w:val="BodyText"/>
      </w:pPr>
      <w:r>
        <w:t xml:space="preserve">The architecture verifies that content originated from a registered capture device. It does not verify scene truthfulness, content accuracy, staging authenticity, or editorial decisions. Privacy guarantees rest on computational assumptions rather than information-theoretic ones, and the verified properties are symbolic (Appendix A.5).</w:t>
      </w:r>
    </w:p>
    <w:p>
      <w:pPr>
        <w:pStyle w:val="Heading1"/>
      </w:pPr>
      <w:r>
        <w:rPr>
          <w:b/>
          <w:bCs/>
        </w:rPr>
        <w:t xml:space="preserve">2 RELATED WORK</w:t>
      </w:r>
    </w:p>
    <w:p>
      <w:pPr>
        <w:pStyle w:val="BodyText"/>
      </w:pPr>
      <w:r>
        <w:t xml:space="preserve">Confidentiality and access control are foundational [5]. Contextual integrity (Nissenbaum [10]) frames privacy as appropriate information flow relative to context norms. SNA asks instead whether the sufficient state for a target function can be assembled at all. Differential privacy (Dwork et al. [11]) provides formal guarantees for statistical data releases. None of these frameworks evaluates what the compromise of one component lets an attacker assemble.</w:t>
      </w:r>
    </w:p>
    <w:p>
      <w:pPr>
        <w:pStyle w:val="BodyText"/>
      </w:pPr>
      <w:r>
        <w:rPr>
          <w:b/>
          <w:bCs/>
        </w:rPr>
        <w:t xml:space="preserve">Privacy by Design.</w:t>
      </w:r>
      <w:r>
        <w:t xml:space="preserve"> Cavoukian’s Privacy by Design [7] </w:t>
      </w:r>
      <w:r>
        <w:t xml:space="preserve">establishes seven foundational principles for how privacy should be approached during design</w:t>
      </w:r>
      <w:r>
        <w:t xml:space="preserve">, not a formal property a design either satisfies or fails.</w:t>
      </w:r>
      <w:r>
        <w:t xml:space="preserve"/>
      </w:r>
      <w:r>
        <w:t xml:space="preserve"/>
      </w:r>
    </w:p>
    <w:p>
      <w:pPr>
        <w:pStyle w:val="BodyText"/>
      </w:pPr>
      <w:r>
        <w:rPr>
          <w:b/>
          <w:bCs/>
        </w:rPr>
        <w:t xml:space="preserve">Privacy Design Strategies.</w:t>
      </w:r>
      <w:r>
        <w:t xml:space="preserve"> Hoepman [12]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The Birthmark Protocol composes both strategies: content and credential fields are kept apart (SEPARATE), and fields are encrypted or hashed (HIDE).</w:t>
      </w:r>
    </w:p>
    <w:p>
      <w:pPr>
        <w:pStyle w:val="BodyText"/>
      </w:pPr>
      <w:r>
        <w:rPr>
          <w:b/>
          <w:bCs/>
        </w:rPr>
        <w:t xml:space="preserve">Terminology.</w:t>
      </w:r>
      <w:r>
        <w:t xml:space="preserve"> </w:t>
      </w:r>
      <w:r>
        <w:t xml:space="preserve">“Birthmark” is a software-security term for an intrinsic, origin-derived characteristic that identifies an artifact after transformation without embedding a signal, unlike a watermark [14]; a registered device’s ContentHash is such a characteristic.</w:t>
      </w:r>
    </w:p>
    <w:p>
      <w:pPr>
        <w:pStyle w:val="BodyText"/>
      </w:pPr>
      <w:r>
        <w:rPr>
          <w:b/>
          <w:bCs/>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fingerprints and watermarks that survive some transformations and support content-based manifest lookup independent of the stripped metadata, partially address this: they trade guaranteed matching for tolerance of the transformations that break exact metadata survival, and depend on a soft-binding lookup service. Storing verification records externally, as this architecture does, makes survival of in-band metadata loss a structural property, without requiring perceptual tolerance.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
          <w:bCs/>
        </w:rPr>
        <w:t xml:space="preserve">Zero-Knowledge Proofs for Authentication.</w:t>
      </w:r>
      <w:r>
        <w:t xml:space="preserve"> ZK-SNARKs enable proof of credential possession without credential disclosure [6].</w:t>
      </w:r>
      <w:r>
        <w:t xml:space="preserve"> Section 6.1 compares them with this architecture.</w:t>
      </w:r>
      <w:r>
        <w:t xml:space="preserve"/>
      </w:r>
    </w:p>
    <w:p>
      <w:pPr>
        <w:pStyle w:val="BodyText"/>
      </w:pPr>
      <w:r>
        <w:rPr>
          <w:b/>
          <w:bCs/>
        </w:rPr>
        <w:t xml:space="preserve">Anonymous Credentials and Attestation. </w:t>
      </w:r>
      <w:r>
        <w:t xml:space="preserve">Privacy Pass [20]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w:t>
      </w:r>
      <w:r>
        <w:t xml:space="preserve">Direct Anonymous Attestation [21] lets a hardware module prove it is a genuine, certified device without revealing which one, and unlinkably across attestations unless the user and verifier agree otherwise; as a deployed TPM standard that targets the same query with signature schemes rather than circuit constructions, it is a closer comparison for the credential validator’s device-membership check than ZK-SNARKs.</w:t>
      </w:r>
      <w:r>
        <w:t xml:space="preserve"> Neither addresses the second half of this architecture’s guarantee: keeping the resulting attestation from ever being co-located with the content it authenticates.</w:t>
      </w:r>
    </w:p>
    <w:p>
      <w:pPr>
        <w:pStyle w:val="BodyText"/>
      </w:pPr>
      <w:r>
        <w:rPr>
          <w:b/>
          <w:bCs/>
        </w:rPr>
        <w:t xml:space="preserve">Split-Knowledge Systems and Privacy Engineering.</w:t>
      </w:r>
      <w:r>
        <w:t xml:space="preserve"> The principle that no single party should hold sufficient information to perform a sensitive operation is established in information security as separation of privilege [5]: a mechanism that requires two keys, held by different parties, is harder to compromise than one that requires a single key. </w:t>
      </w:r>
      <w:r>
        <w:t xml:space="preserve">Split-knowledge architectures partition a key or secret value into shares so that reconstruction requires a threshold of them. Separation of privilege is a design technique. SNA is the criterion for whether a given separation worked: whether an attacker holding one component’s state can assemble the target relationship.</w:t>
      </w:r>
    </w:p>
    <w:p>
      <w:pPr>
        <w:pStyle w:val="BodyText"/>
      </w:pPr>
      <w:r>
        <w:rPr>
          <w:b/>
          <w:bCs/>
        </w:rPr>
        <w:t xml:space="preserve">Delivery Without Recipient Knowledge. </w:t>
      </w:r>
      <w:r>
        <w:t xml:space="preserve">Oblivious HTTP [22] routes a client’s request through a relay that sees the client’s address but not the separately-encrypted request content, to a target server that sees the request but not the client’s address; no single party sees both. Signal’s sealed sender [23] similarly lets a messaging server deliver a message without learning who sent it</w:t>
      </w:r>
      <w:r>
        <w:t xml:space="preserve">. Both are deployed, production examples of the same no-single-delivery-party-learns-both-ends principle this architecture applies to its own relay layer (R6, Section 4.2); neither is designed around a public, queryable record of the kind this architecture posts to a registry. </w:t>
      </w:r>
      <w:r>
        <w:t xml:space="preserve">A subsequent analysis [24] showed that sealed sender’s one-sided anonymity guarantee</w:t>
      </w:r>
      <w:r>
        <w:t xml:space="preserve"> does not compose </w:t>
      </w:r>
      <w:r>
        <w:t xml:space="preserve">across a conversation: repeated messages</w:t>
      </w:r>
      <w:r>
        <w:t xml:space="preserve"> between the same two parties can be statistically linked using delivery receipts in as few as five messages. Mix networks and onion routing carry traffic through a chain of relays so that no single relay sees both the sender and the destination; Tor [15] is the deployed example, and its threat model excludes a global passive observer. This architecture uses the same relay principle and evaluates timing leakage in Appendix D.</w:t>
      </w:r>
      <w:r>
        <w:t xml:space="preserve"/>
      </w:r>
    </w:p>
    <w:p>
      <w:pPr>
        <w:pStyle w:val="BodyText"/>
      </w:pPr>
      <w:r>
        <w:rPr>
          <w:b/>
          <w:bCs/>
        </w:rPr>
        <w:t xml:space="preserve">Architectural Information-Flow Reasoning.</w:t>
      </w:r>
      <w:r>
        <w:t xml:space="preserve"> Chong and van der Meyden [13]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w:t>
      </w:r>
      <w:r>
        <w:t xml:space="preserve">Property A’s proof (Appendix A.3)</w:t>
      </w:r>
      <w:r>
        <w:t xml:space="preserve"> derives a global non-correlation guarantee from the architecture’s channel structure and the validator’s local behavior</w:t>
      </w:r>
      <w:r>
        <w:t xml:space="preserve">.</w:t>
      </w:r>
    </w:p>
    <w:p>
      <w:pPr>
        <w:pStyle w:val="BodyText"/>
      </w:pPr>
      <w:r>
        <w:rPr>
          <w:b/>
          <w:bCs/>
        </w:rPr>
        <w:t xml:space="preserve">Multi-Party Computation and t-Privacy.</w:t>
      </w:r>
      <w:r>
        <w:t xml:space="preserve"> The zero-yield-at-threshold property recalls t-privacy in multi-party computation [9]: in a t-private MPC protocol, no coalition of fewer than t+1 parties can learn anything beyond what their inputs and outputs reveal.</w:t>
      </w:r>
      <w:r>
        <w:t xml:space="preserve"/>
      </w:r>
    </w:p>
    <w:p>
      <w:pPr>
        <w:pStyle w:val="BodyText"/>
      </w:pPr>
      <w:r>
        <w:t xml:space="preserve">Prio [25] extends split-trust principles to aggregate statistics collection: clients secret-share individual data across several non-colluding servers, which jointly compute a sum or count without any one server reconstructing an individual contribution.</w:t>
      </w:r>
      <w:r>
        <w:t xml:space="preserve"/>
      </w:r>
    </w:p>
    <w:p>
      <w:pPr>
        <w:pStyle w:val="BodyText"/>
      </w:pPr>
      <w:r>
        <w:t xml:space="preserve">Table 1 asks of each approach what exposing one component yields under that approach’s own threat model. The gap that remains is the cooperating insider: a single component’s keys, used by someone entitled to use them, yield whatever that component holds, and under SNA what it holds is a fragment.</w:t>
      </w:r>
    </w:p>
    <w:p>
      <w:pPr>
        <w:pStyle w:val="TableCaption"/>
      </w:pPr>
      <w:r>
        <w:rPr>
          <w:b/>
          <w:bCs/>
        </w:rPr>
        <w:t xml:space="preserve">Table 1.</w:t>
      </w:r>
      <w:r>
        <w:t xml:space="preserve"> Semantic Non-Assembly compared with existing approaches: what each protects, what exposing one component yields, and how SNA differs.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3"/>
        <w:gridCol w:w="2011"/>
        <w:gridCol w:w="2243"/>
        <w:gridCol w:w="2972"/>
      </w:tblGrid>
      <w:tr>
        <w:trPr>
          <w:cantSplit/>
          <w:tblHeader w:val="true"/>
        </w:trPr>
        <w:tc>
          <w:tcPr>
            <w:tcW w:w="2133" w:type="dxa"/>
            <w:tcBorders>
              <w:top w:val="single" w:sz="12" w:space="0" w:color="000000"/>
              <w:bottom w:val="single" w:sz="6" w:space="0" w:color="000000"/>
            </w:tcBorders>
            <w:vAlign w:val="bottom"/>
          </w:tcPr>
          <w:p>
            <w:pPr>
              <w:pStyle w:val="TableText"/>
              <w:keepNext/>
            </w:pPr>
            <w:r>
              <w:rPr>
                <w:b/>
                <w:bCs/>
              </w:rPr>
              <w:t xml:space="preserve">Approach</w:t>
            </w:r>
          </w:p>
        </w:tc>
        <w:tc>
          <w:tcPr>
            <w:tcW w:w="2011" w:type="dxa"/>
            <w:tcBorders>
              <w:top w:val="single" w:sz="12" w:space="0" w:color="000000"/>
              <w:bottom w:val="single" w:sz="6" w:space="0" w:color="000000"/>
            </w:tcBorders>
            <w:vAlign w:val="bottom"/>
          </w:tcPr>
          <w:p>
            <w:pPr>
              <w:pStyle w:val="TableText"/>
              <w:keepNext/>
            </w:pPr>
            <w:r>
              <w:rPr>
                <w:b/>
                <w:bCs/>
              </w:rPr>
              <w:t xml:space="preserve">What it protects</w:t>
            </w:r>
          </w:p>
        </w:tc>
        <w:tc>
          <w:tcPr>
            <w:tcW w:w="2243" w:type="dxa"/>
            <w:tcBorders>
              <w:top w:val="single" w:sz="12" w:space="0" w:color="000000"/>
              <w:bottom w:val="single" w:sz="6" w:space="0" w:color="000000"/>
            </w:tcBorders>
            <w:vAlign w:val="bottom"/>
          </w:tcPr>
          <w:p>
            <w:pPr>
              <w:pStyle w:val="TableText"/>
              <w:keepNext/>
            </w:pPr>
            <w:r>
              <w:rPr>
                <w:b/>
                <w:bCs/>
              </w:rPr>
              <w:t xml:space="preserve">What exposing one component yields</w:t>
            </w:r>
          </w:p>
        </w:tc>
        <w:tc>
          <w:tcPr>
            <w:tcW w:w="2972" w:type="dxa"/>
            <w:tcBorders>
              <w:top w:val="single" w:sz="12" w:space="0" w:color="000000"/>
              <w:bottom w:val="single" w:sz="6" w:space="0" w:color="000000"/>
            </w:tcBorders>
            <w:vAlign w:val="bottom"/>
          </w:tcPr>
          <w:p>
            <w:pPr>
              <w:pStyle w:val="TableText"/>
              <w:keepNext/>
            </w:pPr>
            <w:r>
              <w:rPr>
                <w:b/>
                <w:bCs/>
              </w:rPr>
              <w:t xml:space="preserve">How SNA differs</w:t>
            </w:r>
          </w:p>
        </w:tc>
      </w:tr>
      <w:tr>
        <w:trPr>
          <w:cantSplit/>
        </w:trPr>
        <w:tc>
          <w:tcPr>
            <w:tcW w:w="2133" w:type="dxa"/>
            <w:tcBorders>
              <w:bottom w:val="single" w:sz="2" w:space="0" w:color="BFBFBF"/>
            </w:tcBorders>
            <w:vAlign w:val="top"/>
          </w:tcPr>
          <w:p>
            <w:pPr>
              <w:pStyle w:val="TableText"/>
              <w:keepNext/>
            </w:pPr>
            <w:r>
              <w:t xml:space="preserve">Confidentiality</w:t>
            </w:r>
          </w:p>
        </w:tc>
        <w:tc>
          <w:tcPr>
            <w:tcW w:w="2011" w:type="dxa"/>
            <w:tcBorders>
              <w:bottom w:val="single" w:sz="2" w:space="0" w:color="BFBFBF"/>
            </w:tcBorders>
            <w:vAlign w:val="top"/>
          </w:tcPr>
          <w:p>
            <w:pPr>
              <w:pStyle w:val="TableText"/>
              <w:keepNext/>
            </w:pPr>
            <w:r>
              <w:t xml:space="preserve">Information that exists in one place</w:t>
            </w:r>
          </w:p>
        </w:tc>
        <w:tc>
          <w:tcPr>
            <w:tcW w:w="2243" w:type="dxa"/>
            <w:tcBorders>
              <w:bottom w:val="single" w:sz="2" w:space="0" w:color="BFBFBF"/>
            </w:tcBorders>
            <w:vAlign w:val="top"/>
          </w:tcPr>
          <w:p>
            <w:pPr>
              <w:pStyle w:val="TableText"/>
              <w:keepNext/>
            </w:pPr>
            <w:r>
              <w:t xml:space="preserve">Everything that component stores</w:t>
            </w:r>
          </w:p>
        </w:tc>
        <w:tc>
          <w:tcPr>
            <w:tcW w:w="2972" w:type="dxa"/>
            <w:tcBorders>
              <w:bottom w:val="single" w:sz="2" w:space="0" w:color="BFBFBF"/>
            </w:tcBorders>
            <w:vAlign w:val="top"/>
          </w:tcPr>
          <w:p>
            <w:pPr>
              <w:pStyle w:val="TableText"/>
              <w:keepNext/>
            </w:pPr>
            <w:r>
              <w:t xml:space="preserve">SNA prevents the sufficient information set from existing in one place</w:t>
            </w:r>
          </w:p>
        </w:tc>
      </w:tr>
      <w:tr>
        <w:trPr>
          <w:cantSplit/>
        </w:trPr>
        <w:tc>
          <w:tcPr>
            <w:tcW w:w="2133" w:type="dxa"/>
            <w:tcBorders>
              <w:bottom w:val="single" w:sz="2" w:space="0" w:color="BFBFBF"/>
            </w:tcBorders>
            <w:vAlign w:val="top"/>
          </w:tcPr>
          <w:p>
            <w:pPr>
              <w:pStyle w:val="TableText"/>
            </w:pPr>
            <w:r>
              <w:t xml:space="preserve">Access control</w:t>
            </w:r>
          </w:p>
        </w:tc>
        <w:tc>
          <w:tcPr>
            <w:tcW w:w="2011" w:type="dxa"/>
            <w:tcBorders>
              <w:bottom w:val="single" w:sz="2" w:space="0" w:color="BFBFBF"/>
            </w:tcBorders>
            <w:vAlign w:val="top"/>
          </w:tcPr>
          <w:p>
            <w:pPr>
              <w:pStyle w:val="TableText"/>
            </w:pPr>
            <w:r>
              <w:t xml:space="preserve">Operations on an existing store</w:t>
            </w:r>
          </w:p>
        </w:tc>
        <w:tc>
          <w:tcPr>
            <w:tcW w:w="2243" w:type="dxa"/>
            <w:tcBorders>
              <w:bottom w:val="single" w:sz="2" w:space="0" w:color="BFBFBF"/>
            </w:tcBorders>
            <w:vAlign w:val="top"/>
          </w:tcPr>
          <w:p>
            <w:pPr>
              <w:pStyle w:val="TableText"/>
            </w:pPr>
            <w:r>
              <w:t xml:space="preserve">The store’s contents, once permissions fail (misconfiguration, insider threat, key compromise)</w:t>
            </w:r>
          </w:p>
        </w:tc>
        <w:tc>
          <w:tcPr>
            <w:tcW w:w="2972" w:type="dxa"/>
            <w:tcBorders>
              <w:bottom w:val="single" w:sz="2" w:space="0" w:color="BFBFBF"/>
            </w:tcBorders>
            <w:vAlign w:val="top"/>
          </w:tcPr>
          <w:p>
            <w:pPr>
              <w:pStyle w:val="TableText"/>
            </w:pPr>
            <w:r>
              <w:t xml:space="preserve">SNA leaves no single store that holds the link; assembling the link requires compromise across roles</w:t>
            </w:r>
          </w:p>
        </w:tc>
      </w:tr>
      <w:tr>
        <w:trPr>
          <w:cantSplit/>
        </w:trPr>
        <w:tc>
          <w:tcPr>
            <w:tcW w:w="2133" w:type="dxa"/>
            <w:tcBorders>
              <w:bottom w:val="single" w:sz="2" w:space="0" w:color="BFBFBF"/>
            </w:tcBorders>
            <w:vAlign w:val="top"/>
          </w:tcPr>
          <w:p>
            <w:pPr>
              <w:pStyle w:val="TableText"/>
            </w:pPr>
            <w:r>
              <w:t xml:space="preserve">Information flow control</w:t>
            </w:r>
          </w:p>
        </w:tc>
        <w:tc>
          <w:tcPr>
            <w:tcW w:w="2011" w:type="dxa"/>
            <w:tcBorders>
              <w:bottom w:val="single" w:sz="2" w:space="0" w:color="BFBFBF"/>
            </w:tcBorders>
            <w:vAlign w:val="top"/>
          </w:tcPr>
          <w:p>
            <w:pPr>
              <w:pStyle w:val="TableText"/>
            </w:pPr>
            <w:r>
              <w:t xml:space="preserve">Propagation paths for data that exists at a source</w:t>
            </w:r>
          </w:p>
        </w:tc>
        <w:tc>
          <w:tcPr>
            <w:tcW w:w="2243" w:type="dxa"/>
            <w:tcBorders>
              <w:bottom w:val="single" w:sz="2" w:space="0" w:color="BFBFBF"/>
            </w:tcBorders>
            <w:vAlign w:val="top"/>
          </w:tcPr>
          <w:p>
            <w:pPr>
              <w:pStyle w:val="TableText"/>
            </w:pPr>
            <w:r>
              <w:t xml:space="preserve">The source data, if policy enforcement is bypassed</w:t>
            </w:r>
          </w:p>
        </w:tc>
        <w:tc>
          <w:tcPr>
            <w:tcW w:w="2972" w:type="dxa"/>
            <w:tcBorders>
              <w:bottom w:val="single" w:sz="2" w:space="0" w:color="BFBFBF"/>
            </w:tcBorders>
            <w:vAlign w:val="top"/>
          </w:tcPr>
          <w:p>
            <w:pPr>
              <w:pStyle w:val="TableText"/>
            </w:pPr>
            <w:r>
              <w:t xml:space="preserve">SNA works at design time: no component holds the sufficient set, so there is no flow to label or restrict</w:t>
            </w:r>
          </w:p>
        </w:tc>
      </w:tr>
      <w:tr>
        <w:trPr>
          <w:cantSplit/>
        </w:trPr>
        <w:tc>
          <w:tcPr>
            <w:tcW w:w="2133" w:type="dxa"/>
            <w:tcBorders>
              <w:bottom w:val="single" w:sz="2" w:space="0" w:color="BFBFBF"/>
            </w:tcBorders>
            <w:vAlign w:val="top"/>
          </w:tcPr>
          <w:p>
            <w:pPr>
              <w:pStyle w:val="TableText"/>
            </w:pPr>
            <w:r>
              <w:t xml:space="preserve">Statistical disclosure limitation</w:t>
            </w:r>
          </w:p>
        </w:tc>
        <w:tc>
          <w:tcPr>
            <w:tcW w:w="2011" w:type="dxa"/>
            <w:tcBorders>
              <w:bottom w:val="single" w:sz="2" w:space="0" w:color="BFBFBF"/>
            </w:tcBorders>
            <w:vAlign w:val="top"/>
          </w:tcPr>
          <w:p>
            <w:pPr>
              <w:pStyle w:val="TableText"/>
            </w:pPr>
            <w:r>
              <w:t xml:space="preserve">A released dataset, through noise, suppression or generalization</w:t>
            </w:r>
          </w:p>
        </w:tc>
        <w:tc>
          <w:tcPr>
            <w:tcW w:w="2243" w:type="dxa"/>
            <w:tcBorders>
              <w:bottom w:val="single" w:sz="2" w:space="0" w:color="BFBFBF"/>
            </w:tcBorders>
            <w:vAlign w:val="top"/>
          </w:tcPr>
          <w:p>
            <w:pPr>
              <w:pStyle w:val="TableText"/>
            </w:pPr>
            <w:r>
              <w:t xml:space="preserve">The dataset, with inference bounded by the added distortion</w:t>
            </w:r>
          </w:p>
        </w:tc>
        <w:tc>
          <w:tcPr>
            <w:tcW w:w="2972" w:type="dxa"/>
            <w:tcBorders>
              <w:bottom w:val="single" w:sz="2" w:space="0" w:color="BFBFBF"/>
            </w:tcBorders>
            <w:vAlign w:val="top"/>
          </w:tcPr>
          <w:p>
            <w:pPr>
              <w:pStyle w:val="TableText"/>
            </w:pPr>
            <w:r>
              <w:t xml:space="preserve">No dataset exists at any single component to run inference on</w:t>
            </w:r>
          </w:p>
        </w:tc>
      </w:tr>
      <w:tr>
        <w:trPr>
          <w:cantSplit/>
        </w:trPr>
        <w:tc>
          <w:tcPr>
            <w:tcW w:w="2133" w:type="dxa"/>
            <w:tcBorders>
              <w:bottom w:val="single" w:sz="2" w:space="0" w:color="BFBFBF"/>
            </w:tcBorders>
            <w:vAlign w:val="top"/>
          </w:tcPr>
          <w:p>
            <w:pPr>
              <w:pStyle w:val="TableText"/>
            </w:pPr>
            <w:r>
              <w:t xml:space="preserve">Split-knowledge and threshold schemes</w:t>
            </w:r>
          </w:p>
        </w:tc>
        <w:tc>
          <w:tcPr>
            <w:tcW w:w="2011" w:type="dxa"/>
            <w:tcBorders>
              <w:bottom w:val="single" w:sz="2" w:space="0" w:color="BFBFBF"/>
            </w:tcBorders>
            <w:vAlign w:val="top"/>
          </w:tcPr>
          <w:p>
            <w:pPr>
              <w:pStyle w:val="TableText"/>
            </w:pPr>
            <w:r>
              <w:t xml:space="preserve">One algebraic object (a key or secret) shared t-of-n</w:t>
            </w:r>
          </w:p>
        </w:tc>
        <w:tc>
          <w:tcPr>
            <w:tcW w:w="2243" w:type="dxa"/>
            <w:tcBorders>
              <w:bottom w:val="single" w:sz="2" w:space="0" w:color="BFBFBF"/>
            </w:tcBorders>
            <w:vAlign w:val="top"/>
          </w:tcPr>
          <w:p>
            <w:pPr>
              <w:pStyle w:val="TableText"/>
            </w:pPr>
            <w:r>
              <w:t xml:space="preserve">One share, which reveals nothing alone; t colluding parties reconstruct the secret</w:t>
            </w:r>
          </w:p>
        </w:tc>
        <w:tc>
          <w:tcPr>
            <w:tcW w:w="2972" w:type="dxa"/>
            <w:tcBorders>
              <w:bottom w:val="single" w:sz="2" w:space="0" w:color="BFBFBF"/>
            </w:tcBorders>
            <w:vAlign w:val="top"/>
          </w:tcPr>
          <w:p>
            <w:pPr>
              <w:pStyle w:val="TableText"/>
            </w:pPr>
            <w:r>
              <w:t xml:space="preserve">SNA protects a typed information schema whose fields are held by different components. It asks whether what the components hold suffices to establish the target relationship, and the link is assembled only under compromise across roles</w:t>
            </w:r>
          </w:p>
        </w:tc>
      </w:tr>
      <w:tr>
        <w:trPr>
          <w:cantSplit/>
        </w:trPr>
        <w:tc>
          <w:tcPr>
            <w:tcW w:w="2133" w:type="dxa"/>
            <w:tcBorders>
              <w:bottom w:val="single" w:sz="2" w:space="0" w:color="BFBFBF"/>
            </w:tcBorders>
            <w:vAlign w:val="top"/>
          </w:tcPr>
          <w:p>
            <w:pPr>
              <w:pStyle w:val="TableText"/>
            </w:pPr>
            <w:r>
              <w:t xml:space="preserve">MPC t-privacy</w:t>
            </w:r>
          </w:p>
        </w:tc>
        <w:tc>
          <w:tcPr>
            <w:tcW w:w="2011" w:type="dxa"/>
            <w:tcBorders>
              <w:bottom w:val="single" w:sz="2" w:space="0" w:color="BFBFBF"/>
            </w:tcBorders>
            <w:vAlign w:val="top"/>
          </w:tcPr>
          <w:p>
            <w:pPr>
              <w:pStyle w:val="TableText"/>
            </w:pPr>
            <w:r>
              <w:t xml:space="preserve">Secrecy of input values during protocol execution</w:t>
            </w:r>
          </w:p>
        </w:tc>
        <w:tc>
          <w:tcPr>
            <w:tcW w:w="2243" w:type="dxa"/>
            <w:tcBorders>
              <w:bottom w:val="single" w:sz="2" w:space="0" w:color="BFBFBF"/>
            </w:tcBorders>
            <w:vAlign w:val="top"/>
          </w:tcPr>
          <w:p>
            <w:pPr>
              <w:pStyle w:val="TableText"/>
            </w:pPr>
            <w:r>
              <w:t xml:space="preserve">Nothing beyond that party’s own inputs and outputs, up to t parties</w:t>
            </w:r>
          </w:p>
        </w:tc>
        <w:tc>
          <w:tcPr>
            <w:tcW w:w="2972" w:type="dxa"/>
            <w:tcBorders>
              <w:bottom w:val="single" w:sz="2" w:space="0" w:color="BFBFBF"/>
            </w:tcBorders>
            <w:vAlign w:val="top"/>
          </w:tcPr>
          <w:p>
            <w:pPr>
              <w:pStyle w:val="TableText"/>
            </w:pPr>
            <w:r>
              <w:t xml:space="preserve">SNA is a property of the information architecture, independent of any protocol; the two are orthogonal</w:t>
            </w:r>
          </w:p>
        </w:tc>
      </w:tr>
      <w:tr>
        <w:trPr>
          <w:cantSplit/>
        </w:trPr>
        <w:tc>
          <w:tcPr>
            <w:tcW w:w="2133" w:type="dxa"/>
            <w:tcBorders>
              <w:bottom w:val="single" w:sz="2" w:space="0" w:color="BFBFBF"/>
            </w:tcBorders>
            <w:vAlign w:val="top"/>
          </w:tcPr>
          <w:p>
            <w:pPr>
              <w:pStyle w:val="TableText"/>
            </w:pPr>
            <w:r>
              <w:t xml:space="preserve">Prio</w:t>
            </w:r>
          </w:p>
        </w:tc>
        <w:tc>
          <w:tcPr>
            <w:tcW w:w="2011" w:type="dxa"/>
            <w:tcBorders>
              <w:bottom w:val="single" w:sz="2" w:space="0" w:color="BFBFBF"/>
            </w:tcBorders>
            <w:vAlign w:val="top"/>
          </w:tcPr>
          <w:p>
            <w:pPr>
              <w:pStyle w:val="TableText"/>
            </w:pPr>
            <w:r>
              <w:t xml:space="preserve">Aggregate statistics across many clients</w:t>
            </w:r>
          </w:p>
        </w:tc>
        <w:tc>
          <w:tcPr>
            <w:tcW w:w="2243" w:type="dxa"/>
            <w:tcBorders>
              <w:bottom w:val="single" w:sz="2" w:space="0" w:color="BFBFBF"/>
            </w:tcBorders>
            <w:vAlign w:val="top"/>
          </w:tcPr>
          <w:p>
            <w:pPr>
              <w:pStyle w:val="TableText"/>
            </w:pPr>
            <w:r>
              <w:t xml:space="preserve">One secret share of a contribution, which reveals nothing alone</w:t>
            </w:r>
          </w:p>
        </w:tc>
        <w:tc>
          <w:tcPr>
            <w:tcW w:w="2972" w:type="dxa"/>
            <w:tcBorders>
              <w:bottom w:val="single" w:sz="2" w:space="0" w:color="BFBFBF"/>
            </w:tcBorders>
            <w:vAlign w:val="top"/>
          </w:tcPr>
          <w:p>
            <w:pPr>
              <w:pStyle w:val="TableText"/>
            </w:pPr>
            <w:r>
              <w:t xml:space="preserve">SNA protects each submission’s attribution individually, however many others exist</w:t>
            </w:r>
          </w:p>
        </w:tc>
      </w:tr>
      <w:tr>
        <w:trPr>
          <w:cantSplit/>
        </w:trPr>
        <w:tc>
          <w:tcPr>
            <w:tcW w:w="2133" w:type="dxa"/>
            <w:tcBorders>
              <w:bottom w:val="single" w:sz="12" w:space="0" w:color="000000"/>
            </w:tcBorders>
            <w:vAlign w:val="top"/>
          </w:tcPr>
          <w:p>
            <w:pPr>
              <w:pStyle w:val="TableText"/>
            </w:pPr>
            <w:r>
              <w:t xml:space="preserve">Zero-knowledge proofs</w:t>
            </w:r>
          </w:p>
        </w:tc>
        <w:tc>
          <w:tcPr>
            <w:tcW w:w="2011" w:type="dxa"/>
            <w:tcBorders>
              <w:bottom w:val="single" w:sz="12" w:space="0" w:color="000000"/>
            </w:tcBorders>
            <w:vAlign w:val="top"/>
          </w:tcPr>
          <w:p>
            <w:pPr>
              <w:pStyle w:val="TableText"/>
            </w:pPr>
            <w:r>
              <w:t xml:space="preserve">Proof of credential possession without disclosing the credential</w:t>
            </w:r>
          </w:p>
        </w:tc>
        <w:tc>
          <w:tcPr>
            <w:tcW w:w="2243" w:type="dxa"/>
            <w:tcBorders>
              <w:bottom w:val="single" w:sz="12" w:space="0" w:color="000000"/>
            </w:tcBorders>
            <w:vAlign w:val="top"/>
          </w:tcPr>
          <w:p>
            <w:pPr>
              <w:pStyle w:val="TableText"/>
            </w:pPr>
            <w:r>
              <w:t xml:space="preserve">No identifying data, including under validator compromise</w:t>
            </w:r>
          </w:p>
        </w:tc>
        <w:tc>
          <w:tcPr>
            <w:tcW w:w="2972" w:type="dxa"/>
            <w:tcBorders>
              <w:bottom w:val="single" w:sz="12" w:space="0" w:color="000000"/>
            </w:tcBorders>
            <w:vAlign w:val="top"/>
          </w:tcPr>
          <w:p>
            <w:pPr>
              <w:pStyle w:val="TableText"/>
            </w:pPr>
            <w:r>
              <w:t xml:space="preserve">Orthogonal to SNA: ZK hides which member is proving; SNA limits what any component can assemble</w:t>
            </w:r>
          </w:p>
        </w:tc>
      </w:tr>
    </w:tbl>
    <w:p>
      <w:pPr>
        <w:pStyle w:val="Heading1"/>
      </w:pPr>
      <w:r>
        <w:rPr>
          <w:b/>
          <w:bCs/>
        </w:rPr>
        <w:t xml:space="preserve">3 ARCHITECTURE</w:t>
      </w:r>
    </w:p>
    <w:p>
      <w:pPr>
        <w:pStyle w:val="Heading2"/>
      </w:pPr>
      <w:r>
        <w:rPr>
          <w:b/>
          <w:bCs/>
        </w:rPr>
        <w:t xml:space="preserve">3.1 System Overview</w:t>
      </w:r>
    </w:p>
    <w:p>
      <w:pPr>
        <w:pStyle w:val="BodyText"/>
      </w:pPr>
      <w:r>
        <w:t xml:space="preserve">Credential and content travel on separate paths and are joined only by a hash, never by a key. </w:t>
      </w:r>
      <w:r>
        <w:t xml:space="preserve">The architecture </w:t>
      </w:r>
      <w:r>
        <w:t xml:space="preserve">involves six roles (Table 2):</w:t>
      </w:r>
      <w:r>
        <w:t xml:space="preserve"> </w:t>
      </w:r>
      <w:r>
        <w:t xml:space="preserve">a capture device, a credential channel server (C), a credential validator, three independently-keyed gatekeepers each with a paired match board, two content channel servers (F and I), and the Birthmark Media Registry (a consortium blockchain).</w:t>
      </w:r>
      <w:r>
        <w:t xml:space="preserve"> Figure 1 shows the message flow between the roles. A Registry Node is a consortium member’s node, and that member is its operator. It can serve as a first relay, second relay, C, F, I or gatekeeper, and it takes part in registry consensus. Validators are not Registry Nodes. In this paper,</w:t>
      </w:r>
      <w:r>
        <w:t xml:space="preserve"> a component is one operator’s deployment of any role in Table 2 other than the capture device (for the registry, one Registry Node), and the compromise results in Section 4 are stated per component.</w:t>
      </w:r>
    </w:p>
    <w:p>
      <w:pPr>
        <w:pStyle w:val="TableCaption"/>
      </w:pPr>
      <w:r>
        <w:rPr>
          <w:b/>
          <w:bCs/>
        </w:rPr>
        <w:t xml:space="preserve">Table 2.</w:t>
      </w:r>
      <w:r>
        <w:t xml:space="preserve"> The six roles, what each does, and where it is described.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57"/>
        <w:gridCol w:w="5829"/>
        <w:gridCol w:w="1274"/>
      </w:tblGrid>
      <w:tr>
        <w:trPr>
          <w:cantSplit/>
          <w:tblHeader w:val="true"/>
        </w:trPr>
        <w:tc>
          <w:tcPr>
            <w:tcW w:w="2257" w:type="dxa"/>
            <w:tcBorders>
              <w:top w:val="single" w:sz="12" w:space="0" w:color="000000"/>
              <w:bottom w:val="single" w:sz="6" w:space="0" w:color="000000"/>
            </w:tcBorders>
            <w:vAlign w:val="bottom"/>
          </w:tcPr>
          <w:p>
            <w:pPr>
              <w:pStyle w:val="TableText"/>
              <w:keepNext/>
            </w:pPr>
            <w:r>
              <w:rPr>
                <w:b/>
                <w:bCs/>
              </w:rPr>
              <w:t xml:space="preserve">Role</w:t>
            </w:r>
          </w:p>
        </w:tc>
        <w:tc>
          <w:tcPr>
            <w:tcW w:w="5829" w:type="dxa"/>
            <w:tcBorders>
              <w:top w:val="single" w:sz="12" w:space="0" w:color="000000"/>
              <w:bottom w:val="single" w:sz="6" w:space="0" w:color="000000"/>
            </w:tcBorders>
            <w:vAlign w:val="bottom"/>
          </w:tcPr>
          <w:p>
            <w:pPr>
              <w:pStyle w:val="TableText"/>
              <w:keepNext/>
            </w:pPr>
            <w:r>
              <w:rPr>
                <w:b/>
                <w:bCs/>
              </w:rPr>
              <w:t xml:space="preserve">Function</w:t>
            </w:r>
          </w:p>
        </w:tc>
        <w:tc>
          <w:tcPr>
            <w:tcW w:w="1274" w:type="dxa"/>
            <w:tcBorders>
              <w:top w:val="single" w:sz="12" w:space="0" w:color="000000"/>
              <w:bottom w:val="single" w:sz="6" w:space="0" w:color="000000"/>
            </w:tcBorders>
            <w:vAlign w:val="bottom"/>
          </w:tcPr>
          <w:p>
            <w:pPr>
              <w:pStyle w:val="TableText"/>
              <w:keepNext/>
            </w:pPr>
            <w:r>
              <w:rPr>
                <w:b/>
                <w:bCs/>
              </w:rPr>
              <w:t xml:space="preserve">Detailed in</w:t>
            </w:r>
          </w:p>
        </w:tc>
      </w:tr>
      <w:tr>
        <w:trPr>
          <w:cantSplit/>
        </w:trPr>
        <w:tc>
          <w:tcPr>
            <w:tcW w:w="2257" w:type="dxa"/>
            <w:tcBorders>
              <w:bottom w:val="single" w:sz="2" w:space="0" w:color="BFBFBF"/>
            </w:tcBorders>
            <w:vAlign w:val="top"/>
          </w:tcPr>
          <w:p>
            <w:pPr>
              <w:pStyle w:val="TableText"/>
              <w:keepNext/>
            </w:pPr>
            <w:r>
              <w:t xml:space="preserve">Capture device</w:t>
            </w:r>
          </w:p>
        </w:tc>
        <w:tc>
          <w:tcPr>
            <w:tcW w:w="5829" w:type="dxa"/>
            <w:tcBorders>
              <w:bottom w:val="single" w:sz="2" w:space="0" w:color="BFBFBF"/>
            </w:tcBorders>
            <w:vAlign w:val="top"/>
          </w:tcPr>
          <w:p>
            <w:pPr>
              <w:pStyle w:val="TableText"/>
              <w:keepNext/>
            </w:pPr>
            <w:r>
              <w:t xml:space="preserve">Generates ContentHash and </w:t>
            </w:r>
            <w:r>
              <w:t xml:space="preserve">the credential packet (which includes a Processing Claim, called the claim below, about post-capture processing), and sends</w:t>
            </w:r>
            <w:r>
              <w:t xml:space="preserve"> the two channels over disjoint delivery paths</w:t>
            </w:r>
          </w:p>
        </w:tc>
        <w:tc>
          <w:tcPr>
            <w:tcW w:w="1274" w:type="dxa"/>
            <w:tcBorders>
              <w:bottom w:val="single" w:sz="2" w:space="0" w:color="BFBFBF"/>
            </w:tcBorders>
            <w:vAlign w:val="top"/>
          </w:tcPr>
          <w:p>
            <w:pPr>
              <w:pStyle w:val="TableText"/>
              <w:keepNext/>
            </w:pPr>
            <w:r>
              <w:t xml:space="preserve">Section 3.2; R6 (Section 4.2)</w:t>
            </w:r>
          </w:p>
        </w:tc>
      </w:tr>
      <w:tr>
        <w:trPr>
          <w:cantSplit/>
        </w:trPr>
        <w:tc>
          <w:tcPr>
            <w:tcW w:w="2257" w:type="dxa"/>
            <w:tcBorders>
              <w:bottom w:val="single" w:sz="2" w:space="0" w:color="BFBFBF"/>
            </w:tcBorders>
            <w:vAlign w:val="top"/>
          </w:tcPr>
          <w:p>
            <w:pPr>
              <w:pStyle w:val="TableText"/>
            </w:pPr>
            <w:r>
              <w:t xml:space="preserve">Credential channel server (C)</w:t>
            </w:r>
          </w:p>
        </w:tc>
        <w:tc>
          <w:tcPr>
            <w:tcW w:w="5829" w:type="dxa"/>
            <w:tcBorders>
              <w:bottom w:val="single" w:sz="2" w:space="0" w:color="BFBFBF"/>
            </w:tcBorders>
            <w:vAlign w:val="top"/>
          </w:tcPr>
          <w:p>
            <w:pPr>
              <w:pStyle w:val="TableText"/>
            </w:pPr>
            <w:r>
              <w:t xml:space="preserve">Receives the credential channel, wraps FullPacketHash under the device’s BlindShare_key for the validator round trip, </w:t>
            </w:r>
            <w:r>
              <w:t xml:space="preserve">ring-signs FullPacketHash with the validator’s verdict</w:t>
            </w:r>
            <w:r>
              <w:t xml:space="preserve">, and fans it out to the three gatekeepers</w:t>
            </w:r>
          </w:p>
        </w:tc>
        <w:tc>
          <w:tcPr>
            <w:tcW w:w="1274" w:type="dxa"/>
            <w:tcBorders>
              <w:bottom w:val="single" w:sz="2" w:space="0" w:color="BFBFBF"/>
            </w:tcBorders>
            <w:vAlign w:val="top"/>
          </w:tcPr>
          <w:p>
            <w:pPr>
              <w:pStyle w:val="TableText"/>
            </w:pPr>
            <w:r>
              <w:t xml:space="preserve">Sections 3.2, 3.3</w:t>
            </w:r>
          </w:p>
        </w:tc>
      </w:tr>
      <w:tr>
        <w:trPr>
          <w:cantSplit/>
        </w:trPr>
        <w:tc>
          <w:tcPr>
            <w:tcW w:w="2257" w:type="dxa"/>
            <w:tcBorders>
              <w:bottom w:val="single" w:sz="2" w:space="0" w:color="BFBFBF"/>
            </w:tcBorders>
            <w:vAlign w:val="top"/>
          </w:tcPr>
          <w:p>
            <w:pPr>
              <w:pStyle w:val="TableText"/>
            </w:pPr>
            <w:r>
              <w:t xml:space="preserve">Credential validator</w:t>
            </w:r>
          </w:p>
        </w:tc>
        <w:tc>
          <w:tcPr>
            <w:tcW w:w="5829" w:type="dxa"/>
            <w:tcBorders>
              <w:bottom w:val="single" w:sz="2" w:space="0" w:color="BFBFBF"/>
            </w:tcBorders>
            <w:vAlign w:val="top"/>
          </w:tcPr>
          <w:p>
            <w:pPr>
              <w:pStyle w:val="TableText"/>
            </w:pPr>
            <w:r>
              <w:t xml:space="preserve">Confirms that a credential belongs to a registered device</w:t>
            </w:r>
            <w:r>
              <w:t xml:space="preserve">, judges the device’s claim, and signs the resulting verdict with the wrapped Enc_FullPacketHash without reading it</w:t>
            </w:r>
          </w:p>
        </w:tc>
        <w:tc>
          <w:tcPr>
            <w:tcW w:w="1274" w:type="dxa"/>
            <w:tcBorders>
              <w:bottom w:val="single" w:sz="2" w:space="0" w:color="BFBFBF"/>
            </w:tcBorders>
            <w:vAlign w:val="top"/>
          </w:tcPr>
          <w:p>
            <w:pPr>
              <w:pStyle w:val="TableText"/>
            </w:pPr>
            <w:r>
              <w:t xml:space="preserve">Section 3.2</w:t>
            </w:r>
          </w:p>
        </w:tc>
      </w:tr>
      <w:tr>
        <w:trPr>
          <w:cantSplit/>
        </w:trPr>
        <w:tc>
          <w:tcPr>
            <w:tcW w:w="2257" w:type="dxa"/>
            <w:tcBorders>
              <w:bottom w:val="single" w:sz="2" w:space="0" w:color="BFBFBF"/>
            </w:tcBorders>
            <w:vAlign w:val="top"/>
          </w:tcPr>
          <w:p>
            <w:pPr>
              <w:pStyle w:val="TableText"/>
            </w:pPr>
            <w:r>
              <w:t xml:space="preserve">Gatekeepers (three, each with a paired match board)</w:t>
            </w:r>
          </w:p>
        </w:tc>
        <w:tc>
          <w:tcPr>
            <w:tcW w:w="5829" w:type="dxa"/>
            <w:tcBorders>
              <w:bottom w:val="single" w:sz="2" w:space="0" w:color="BFBFBF"/>
            </w:tcBorders>
            <w:vAlign w:val="top"/>
          </w:tcPr>
          <w:p>
            <w:pPr>
              <w:pStyle w:val="TableText"/>
            </w:pPr>
            <w:r>
              <w:t xml:space="preserve">Each independently verifies the validator’s signature and C’s ring signature, counter-signs, and posts to its own board after a randomized hold</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2" w:space="0" w:color="BFBFBF"/>
            </w:tcBorders>
            <w:vAlign w:val="top"/>
          </w:tcPr>
          <w:p>
            <w:pPr>
              <w:pStyle w:val="TableText"/>
            </w:pPr>
            <w:r>
              <w:t xml:space="preserve">Content channel servers (F and I)</w:t>
            </w:r>
          </w:p>
        </w:tc>
        <w:tc>
          <w:tcPr>
            <w:tcW w:w="5829" w:type="dxa"/>
            <w:tcBorders>
              <w:bottom w:val="single" w:sz="2" w:space="0" w:color="BFBFBF"/>
            </w:tcBorders>
            <w:vAlign w:val="top"/>
          </w:tcPr>
          <w:p>
            <w:pPr>
              <w:pStyle w:val="TableText"/>
            </w:pPr>
            <w:r>
              <w:t xml:space="preserve">Each receives the content channel directly, recomputes FullPacketHash, </w:t>
            </w:r>
            <w:r>
              <w:t xml:space="preserve">checks it against the two-of-three board quorum, takes the verdict from the quorum, and submits</w:t>
            </w:r>
            <w:r>
              <w:t xml:space="preserve"> a signed entry to the registry</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12" w:space="0" w:color="000000"/>
            </w:tcBorders>
            <w:vAlign w:val="top"/>
          </w:tcPr>
          <w:p>
            <w:pPr>
              <w:pStyle w:val="TableText"/>
            </w:pPr>
            <w:r>
              <w:t xml:space="preserve">Birthmark Media Registry (consortium blockchain)</w:t>
            </w:r>
          </w:p>
        </w:tc>
        <w:tc>
          <w:tcPr>
            <w:tcW w:w="5829" w:type="dxa"/>
            <w:tcBorders>
              <w:bottom w:val="single" w:sz="12" w:space="0" w:color="000000"/>
            </w:tcBorders>
            <w:vAlign w:val="top"/>
          </w:tcPr>
          <w:p>
            <w:pPr>
              <w:pStyle w:val="TableText"/>
            </w:pPr>
            <w:r>
              <w:t xml:space="preserve">Finalizes a ContentHash once two distinctly signed entries agree, and answers public queries</w:t>
            </w:r>
          </w:p>
        </w:tc>
        <w:tc>
          <w:tcPr>
            <w:tcW w:w="1274" w:type="dxa"/>
            <w:tcBorders>
              <w:bottom w:val="single" w:sz="12" w:space="0" w:color="000000"/>
            </w:tcBorders>
            <w:vAlign w:val="top"/>
          </w:tcPr>
          <w:p>
            <w:pPr>
              <w:pStyle w:val="TableText"/>
            </w:pPr>
            <w:r>
              <w:t xml:space="preserve">Sections 3.3, 3.5</w:t>
            </w:r>
          </w:p>
        </w:tc>
      </w:tr>
    </w:tbl>
    <w:p>
      <w:pPr>
        <w:pStyle w:val="BodyText"/>
        <w:spacing w:before="200"/>
      </w:pPr>
      <w:r>
        <w:t xml:space="preserve">Device registration is a prerequisite outside the scope of this architecture; credential provisioning is deployment-specific. The architecture defines what a credential validator must do (</w:t>
      </w:r>
      <w:r>
        <w:t xml:space="preserve">accept a submitted credential and a claim, and return a signed verdict or a rejection</w:t>
      </w:r>
      <w:r>
        <w:t xml:space="preserve">) without prescribing how enrollment is managed.</w:t>
      </w:r>
    </w:p>
    <w:p>
      <w:pPr>
        <w:pStyle w:val="BodyText"/>
      </w:pPr>
      <w:r>
        <w:t xml:space="preserve">Certified Media Processing Software (CMPS; Section 4.2, R3) is a further, optional role: software, either an editing application or a generic wrapper around one, that performs or tracks a deliberate edit to already-registered content and submits the result as a new transaction in its own right, with the CMPS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w:t>
      </w:r>
      <w:r>
        <w:t xml:space="preserve">.</w:t>
      </w:r>
      <w:r>
        <w:t xml:space="preserve"> The CMPS’s claim (Section 4.2, R3) carries the classes of editing tool it applied and its Deviation Score, and the developer’s server judges it.</w:t>
      </w:r>
    </w:p>
    <w:p>
      <w:pPr>
        <w:pStyle w:val="Figure"/>
        <w:keepNext/>
        <w:jc w:val="center"/>
      </w:pPr>
      <w:r>
        <w:drawing>
          <wp:inline distT="0" distB="0" distL="0" distR="0">
            <wp:extent cx="5486400" cy="4337050"/>
            <wp:effectExtent l="0" t="0" r="0" b="0"/>
            <wp:docPr id="1" name="Figure1" descr="Architecture 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Architecture message flow diagram"/>
                    <pic:cNvPicPr>
                      <a:picLocks noChangeAspect="1" noChangeArrowheads="1"/>
                    </pic:cNvPicPr>
                  </pic:nvPicPr>
                  <pic:blipFill>
                    <a:blip r:embed="rId2"/>
                    <a:stretch>
                      <a:fillRect/>
                    </a:stretch>
                  </pic:blipFill>
                  <pic:spPr bwMode="auto">
                    <a:xfrm>
                      <a:off x="0" y="0"/>
                      <a:ext cx="5486400" cy="4337050"/>
                    </a:xfrm>
                    <a:prstGeom prst="rect">
                      <a:avLst/>
                    </a:prstGeom>
                  </pic:spPr>
                </pic:pic>
              </a:graphicData>
            </a:graphic>
          </wp:inline>
        </w:drawing>
      </w:r>
    </w:p>
    <w:p>
      <w:pPr>
        <w:pStyle w:val="ImageCaption"/>
      </w:pPr>
      <w:r>
        <w:rPr>
          <w:i/>
        </w:rPr>
        <w:t xml:space="preserve">Figure 1. Message flow. The device sends its credential packet through a first relay and a second relay to the credential channel server (C), which consults the credential validator and passes the validation packet to three gatekeepers and their match boards. The device also sends two content packets (shaded), each through its own first and second relay, to the content channel servers F and I. F and I check the match boards before submitting to a Registry Node.</w:t>
      </w:r>
    </w:p>
    <w:p>
      <w:pPr>
        <w:pStyle w:val="Heading2"/>
      </w:pPr>
      <w:r>
        <w:rPr>
          <w:b/>
          <w:bCs/>
        </w:rPr>
        <w:t xml:space="preserve">3.2 Data Channels</w:t>
      </w:r>
    </w:p>
    <w:p>
      <w:pPr>
        <w:pStyle w:val="BodyText"/>
      </w:pPr>
      <w:r>
        <w:t xml:space="preserve">The architecture separates each submission into two independent data channels.</w:t>
      </w:r>
    </w:p>
    <w:p>
      <w:pPr>
        <w:pStyle w:val="BodyText"/>
      </w:pPr>
      <w:r>
        <w:rPr>
          <w:b/>
          <w:bCs/>
        </w:rPr>
        <w:t xml:space="preserve">The content channel</w:t>
      </w:r>
      <w:r>
        <w:t xml:space="preserve"> carries four fields:</w:t>
      </w:r>
    </w:p>
    <w:p>
      <w:pPr>
        <w:pStyle w:val="Compact"/>
        <w:numPr>
          <w:ilvl w:val="0"/>
          <w:numId w:val="1"/>
        </w:numPr>
      </w:pPr>
      <w:r>
        <w:t xml:space="preserve">ContentHash, a hash of the media content, derived by the capture device at the time of capture using SHA-256. The hash algorithm is applied uniformly and is not left to per-device choice, since a verifier recomputing the hash locally </w:t>
      </w:r>
      <w:r>
        <w:t xml:space="preserve">(Section 3.5)</w:t>
      </w:r>
      <w:r>
        <w:t xml:space="preserve"> has no channel through which to learn which algorithm a given device used.</w:t>
      </w:r>
    </w:p>
    <w:p>
      <w:pPr>
        <w:pStyle w:val="Compact"/>
        <w:numPr>
          <w:ilvl w:val="0"/>
          <w:numId w:val="1"/>
        </w:numPr>
      </w:pPr>
      <w:r>
        <w:t xml:space="preserve">A single-use nonce n (at least 128 bits, generated by a cryptographically secure random number generator) that the device generates for this submission.</w:t>
      </w:r>
    </w:p>
    <w:p>
      <w:pPr>
        <w:pStyle w:val="Compact"/>
        <w:numPr>
          <w:ilvl w:val="0"/>
          <w:numId w:val="1"/>
        </w:numPr>
      </w:pPr>
      <w:r>
        <w:t xml:space="preserve">An optional Capture Metadata Hash, h(metadata) (timestamp, location), which enables selective disclosure without revealing values on-chain.</w:t>
      </w:r>
    </w:p>
    <w:p>
      <w:pPr>
        <w:pStyle w:val="Compact"/>
        <w:numPr>
          <w:ilvl w:val="0"/>
          <w:numId w:val="1"/>
        </w:numPr>
      </w:pPr>
      <w:r>
        <w:t xml:space="preserve">For an edit, the parent record’s ContentHash.</w:t>
      </w:r>
    </w:p>
    <w:p>
      <w:pPr>
        <w:pStyle w:val="BodyText"/>
        <w:spacing w:before="120"/>
      </w:pPr>
      <w:r>
        <w:t xml:space="preserve">The device transmits the content channel to each of the two content channel servers independently, via delivery paths each satisfying R6 (Section 4.2). Each copy is encrypted under the Channel Key of the server it is addressed to, the same Channel Key scheme that protects the credential channel (below).</w:t>
      </w:r>
      <w:r>
        <w:t xml:space="preserve"> The content channel carries no verdict: the verdict comes from the validator and reaches F and I through the gatekeeper quorum (Section 3.3).</w:t>
      </w:r>
      <w:r>
        <w:t xml:space="preserve"/>
      </w:r>
    </w:p>
    <w:p>
      <w:pPr>
        <w:pStyle w:val="BodyText"/>
      </w:pPr>
      <w:r>
        <w:t xml:space="preserve">The Full Packet Hash, FullPacketHash = hash(ContentHash, n, optional fields), is computed over everything this channel carries: ContentHash, n, and the optional fields (the Capture Metadata Hash and, for an edit, the parent ContentHash), in a fixed encoding that includes a one-byte field, the Optional-Field Flags, marking which optional fields are present. The Optional-Field Flags travel in the content channel, and the two servers’ signatures and the registry record carry it, so the servers and the registry all work from the same encoding.</w:t>
      </w:r>
    </w:p>
    <w:p>
      <w:pPr>
        <w:pStyle w:val="BodyText"/>
      </w:pPr>
      <w:r>
        <w:rPr>
          <w:b/>
          <w:bCs/>
        </w:rPr>
        <w:t xml:space="preserve">The credential channel</w:t>
      </w:r>
      <w:r>
        <w:t xml:space="preserve"> carries: an encrypted device token (the credential, its claim about post-capture processing, and a binding hash, encrypted under key material held exclusively by the credential validator); a key reference identifying which Token Key and member list the validator should use;</w:t>
      </w:r>
      <w:r>
        <w:t xml:space="preserve"> FullPacketHash, included in the clear relative to this leg; and BlindShare_key, a single-use symmetric key the device generates for this transaction. At this stage the token, FullPacketHash and BlindShare_key travel together inside</w:t>
      </w:r>
      <w:r>
        <w:t xml:space="preserve"> the credential packet under the same Channel Key encryption (C-device_pk, C’s Channel Key) every packet addressed to the credential channel server (C) uses, and FullPacketHash and BlindShare_key become visible to C the moment it opens its own envelope. The device transmits the credential channel to C via a delivery path disjoint from the content channel, also satisfying R6 (Section 4.2).</w:t>
      </w:r>
    </w:p>
    <w:p>
      <w:pPr>
        <w:pStyle w:val="BodyText"/>
      </w:pPr>
      <w:r>
        <w:rPr/>
        <w:t xml:space="preserve">The binding hash ties the token to one submission. C chooses which token and which wrapped value it sends the validator, and without the hash a compromised C could attach a genuine token to a FullPacketHash the device never sent. The device encrypts FullPacketHash under BlindShare_key to form Enc_FullPacketHash, hashes the result with SHA-256, and places that hash in the token. The encryption is deterministic given BlindShare_key, so the device, C and each gatekeeper compute the same Enc_FullPacketHash. Only the validator can read the token, so the binding hash is not visible to C or to any later party.</w:t>
      </w:r>
    </w:p>
    <w:p>
      <w:pPr>
        <w:pStyle w:val="BodyText"/>
      </w:pPr>
      <w:r>
        <w:t xml:space="preserve">C retains FullPacketHash locally and uses the BlindShare_key that the device generated for this transaction. BlindShare_key lets C share FullPacketHash with the validator without exposing it: the validator never holds it, and C later gives it to the gatekeepers so that they can recompute Enc_FullPacketHash. C encrypts FullPacketHash under BlindShare_key, bundles the result with the still-encrypted device token, the key reference the device supplied, and a transaction identifier, and forwards the bundle to the credential validator under the validator’s Server Transit Key. The validator decrypts that transit wrapper, decrypts the device token with the V-token_sk of the Token Key that the forwarded key reference names, and checks membership against that Token Key’s member list. It then hashes the Enc_FullPacketHash in C’s bundle and compares the result with the binding hash in the token; a mismatch rejects the submission. The token also carries the claim, the device’s statement about post-capture processing: zero for an unedited capture and, for an edit, the classes of editing tool applied and the CMPS’s Deviation Score (Section 4.2, R3).</w:t>
      </w:r>
      <w:r>
        <w:t xml:space="preserve"/>
      </w:r>
    </w:p>
    <w:p>
      <w:pPr>
        <w:pStyle w:val="BodyText"/>
      </w:pPr>
      <w:r>
        <w:t xml:space="preserve">If the credential is registered, the validator judges the claim and derives the Modification Verdict (the verdict): one byte holding the Modification Flag, a set of bits that records characteristics of the image’s edit history and that the companion paper [3] specifies, and a deviation bucket (one of four). The CMPS and its developer set where one bucket ends and the next begins; the protocol carries the Modification Flag and the bucket and treats both as opaque values.</w:t>
      </w:r>
      <w:r>
        <w:t xml:space="preserve"> It cannot decrypt the BlindShare_key-wrapped FullPacketHash (Enc_FullPacketHash), since it never holds BlindShare_key. </w:t>
      </w:r>
      <w:r>
        <w:t xml:space="preserve">It signs the verdict together with Enc_FullPacketHash, using a separate signing key held only for this purpose (V-sign_sk, never used to decrypt anything)</w:t>
      </w:r>
      <w:r>
        <w:t xml:space="preserve">, as a member of V-Ring (the signing public keys of all registered validators)</w:t>
      </w:r>
      <w:r>
        <w:t xml:space="preserve">, and returns the verdict and signature to C under C’s Server Transit Key. A verdict with the Modification Flag set is a flagged record. Only an unregistered credential, a binding hash that does not match, or a replayed or out-of-range nonce is rejected: the validator returns the decision alone, padded to the same size class as a verdict and carrying no signature, since there is nothing to attest to, and C drops the transaction.</w:t>
      </w:r>
    </w:p>
    <w:p>
      <w:pPr>
        <w:pStyle w:val="BodyText"/>
      </w:pPr>
      <w:r>
        <w:t xml:space="preserve">For a verdict, C verifies σ_V over the verdict and the Enc_FullPacketHash it computed and holds; a failed verification means the signature does not belong to this transaction, and the record is rejected.</w:t>
      </w:r>
      <w:r>
        <w:t xml:space="preserve"> BlindShare_key exists only for one round trip, so no key needs to be provisioned in advance.</w:t>
      </w:r>
    </w:p>
    <w:p>
      <w:pPr>
        <w:pStyle w:val="BodyText"/>
      </w:pPr>
      <w:r>
        <w:t xml:space="preserve">Each of the two content channel servers, having received the content channel directly from the device, independently computes its own candidate FullPacketHash′ and checks it</w:t>
      </w:r>
      <w:r>
        <w:t xml:space="preserve"> against</w:t>
      </w:r>
      <w:r>
        <w:t xml:space="preserve"> the two-of-three gatekeeper quorum (Section 3.3); </w:t>
      </w:r>
      <w:r>
        <w:t xml:space="preserve">this binds a validator verdict to one specific submission and prevents a previously issued verdict from being replayed</w:t>
      </w:r>
      <w:r>
        <w:t xml:space="preserve"> against a different ContentHash.</w:t>
      </w:r>
      <w:r>
        <w:t xml:space="preserve"> Because FullPacketHash covers the optional fields, a content packet whose optional fields differ from what the device sent yields a different FullPacketHash′, which no quorum covers. A compromised server therefore cannot get the other to sign altered optional fields.</w:t>
      </w:r>
    </w:p>
    <w:p>
      <w:pPr>
        <w:pStyle w:val="BodyText"/>
      </w:pPr>
      <w:r>
        <w:t xml:space="preserve">No single party other than C ever holds FullPacketHash alongside the token it accompanies. </w:t>
      </w:r>
      <w:r>
        <w:t xml:space="preserve">Neither content channel server observes the credential channel. Each sees only its own candidate and, later, the gatekeepers’ posted quorum. The nonce n is discarded once each check succeeds and is never posted to the registry, so a party who later obtains FullPacketHash from a compromised log cannot use it to test candidate content against the permanent registry, since recomputing FullPacketHash requires n. </w:t>
      </w:r>
      <w:r>
        <w:t xml:space="preserve">BlindShare_key and the validator-signed Enc_FullPacketHash are both discarded by C once the third fan-out leg is sent.</w:t>
      </w:r>
      <w:r>
        <w:t xml:space="preserve"> The first relay (A, D, or G) that decrypts the routing code accompanying the payload on the way to the first relay is under the same obligation: it discards the routing code immediately after re-encrypting the still-opaque payload toward the next relay its relay routing table assigns to that code</w:t>
      </w:r>
      <w:r>
        <w:t xml:space="preserve">, retaining no record of which code accompanied a given forwarded packet. No residual record of the credential-side artifacts that produced a given posting survives at any of these parties. </w:t>
      </w:r>
      <w:r>
        <w:t xml:space="preserve">Section 6.2 describes how this requirement is audited.</w:t>
      </w:r>
    </w:p>
    <w:p>
      <w:pPr>
        <w:pStyle w:val="BodyText"/>
      </w:pPr>
      <w:r>
        <w:t xml:space="preserve">Disjoint delivery (R6, Section 4.2) and encryption of FullPacketHash address different adversaries and are both necessary</w:t>
      </w:r>
      <w:r>
        <w:t xml:space="preserve">.</w:t>
      </w:r>
    </w:p>
    <w:p>
      <w:pPr>
        <w:pStyle w:val="BodyText"/>
      </w:pPr>
      <w:r>
        <w:t xml:space="preserve">R6 is satisfied by any delivery mechanism, independent network paths, an anonymizing relay layer, or an equivalent construction, in which each channel’s relay terminates the device’s connection and originates a fresh one to the actual destination.</w:t>
      </w:r>
      <w:r>
        <w:t xml:space="preserve"/>
      </w:r>
      <w:r>
        <w:t xml:space="preserve"/>
      </w:r>
      <w:r>
        <w:t xml:space="preserve"/>
      </w:r>
      <w:r>
        <w:t xml:space="preserve"> A single relay handling both channels for the same device would reintroduce exactly the co-location this requirement exists to prevent; the two channels require independent relays. How the device addresses the relay layer, through the device routing table and the assignment of routes, is specified in [3].</w:t>
      </w:r>
    </w:p>
    <w:p>
      <w:pPr>
        <w:pStyle w:val="BodyText"/>
      </w:pPr>
      <w:r>
        <w:t xml:space="preserve">A compliant delivery mechanism additionally randomizes transmission timing. It pads channel traffic to a size drawn randomly within a common traffic-size class rather than a single constant byte count, since exact size constancy across every transmission would itself be a distinguishing signal. It also intermixes channel transmissions with unrelated traffic, so that a channel is not identifiable from packet size or timing alone and the two channels are not the only or most obvious traffic an observer sees from a given device. These measures prevent straightforward channel classification and deterministic flow pairing. Statistical correlation of timing and volume across many observed transactions is measured in Appendix D. The gatekeeper fan-out (Section 3.3) uses its own, larger size class, since the ring signature over C-Ring makes that leg’s contents larger regardless of padding. Its destination, one of the three active gatekeepers, already identifies it structurally, so a distinct size class adds no signal; the evaluation in Appendix D, which gives every adversary a passive view of sizes, is consistent with this reasoning.</w:t>
      </w:r>
    </w:p>
    <w:p>
      <w:pPr>
        <w:pStyle w:val="BodyText"/>
      </w:pPr>
      <w:r>
        <w:t xml:space="preserve">R6 also constrains any forwarding metadata a relay needs in order to perform its own routing decision. Such metadata must be encrypted such that only the relay that needs to act on it can read it. A plaintext routing marker would identify a channel as directly as an unpadded packet size would.</w:t>
      </w:r>
    </w:p>
    <w:p>
      <w:pPr>
        <w:pStyle w:val="Heading2"/>
      </w:pPr>
      <w:r>
        <w:rPr>
          <w:b/>
          <w:bCs/>
        </w:rPr>
        <w:t xml:space="preserve">3.3 Validation and Registry Posting</w:t>
      </w:r>
    </w:p>
    <w:p>
      <w:pPr>
        <w:pStyle w:val="BodyText"/>
      </w:pPr>
      <w:r>
        <w:t xml:space="preserve">The system never receives media content at any stage. Once its own check succeeds (Section 3.2), the credential channel server (C) </w:t>
      </w:r>
      <w:r>
        <w:t xml:space="preserve">signs FullPacketHash and the verdict as a member of C-Ring, its eligible candidate pool, using an unlinkable ring signature, then fans</w:t>
      </w:r>
      <w:r>
        <w:t xml:space="preserve"> the validation packet out to three independently-keyed gatekeepers, encrypted separately under each one’s own Server Transit Key: FullPacketHash in the clear</w:t>
      </w:r>
      <w:r>
        <w:t xml:space="preserve"> and the verdict</w:t>
      </w:r>
      <w:r>
        <w:t xml:space="preserve">, </w:t>
      </w:r>
      <w:r>
        <w:t xml:space="preserve">the validator’s ring signature, BlindShare_key itself</w:t>
      </w:r>
      <w:r>
        <w:t xml:space="preserve">, and C’s signature over FullPacketHash</w:t>
      </w:r>
      <w:r>
        <w:t xml:space="preserve"> and the verdict</w:t>
      </w:r>
      <w:r>
        <w:t xml:space="preserve">. Encrypting separately for each recipient means a compromised Server Transit Key exposes what was sent to one gatekeeper.</w:t>
      </w:r>
    </w:p>
    <w:p>
      <w:pPr>
        <w:pStyle w:val="BodyText"/>
      </w:pPr>
      <w:r>
        <w:t xml:space="preserve">Each gatekeeper independently verifies two things before it will act. The first is the validator’s signature, verified against V-Ring</w:t>
      </w:r>
      <w:r>
        <w:t xml:space="preserve"> (it shows that some registered validator signed, not which one),</w:t>
      </w:r>
      <w:r>
        <w:t xml:space="preserve"> over </w:t>
      </w:r>
      <w:r>
        <w:t xml:space="preserve">the verdict concatenated with Enc_FullPacketHash</w:t>
      </w:r>
      <w:r>
        <w:t xml:space="preserve">, which it recomputes from BlindShare_key and FullPacketHash, so a mismatch fails verification. The second is C’s signature over that same FullPacketHash</w:t>
      </w:r>
      <w:r>
        <w:t xml:space="preserve"> and verdict,</w:t>
      </w:r>
      <w:r>
        <w:t xml:space="preserve"> verified as belonging to some member of C-Ring. </w:t>
      </w:r>
      <w:r>
        <w:t xml:space="preserve">Without a ring signature, a compromised node’s own</w:t>
      </w:r>
      <w:r>
        <w:t xml:space="preserve"> exact fan-out timing would let it search all registered pool members for the one whose relay timing coincides with its own arrival, recovering C’s identity from timing alone.</w:t>
      </w:r>
      <w:r>
        <w:t xml:space="preserve"/>
      </w:r>
    </w:p>
    <w:p>
      <w:pPr>
        <w:pStyle w:val="BodyText"/>
      </w:pPr>
      <w:r>
        <w:t xml:space="preserve">Neither check substitutes for the other: </w:t>
      </w:r>
      <w:r>
        <w:t xml:space="preserve">the validator’s signature confirms that the validator judged a registered device’s claim and issued this verdict, and C’s signature confirms C itself witnessed that verdict before signing</w:t>
      </w:r>
      <w:r>
        <w:t xml:space="preserve">, which matters because what a gatekeeper ultimately posts, and what the boards and the content channel servers later check, is built on C’s signature, not the validator’s own.</w:t>
      </w:r>
      <w:r>
        <w:t xml:space="preserve"> Both signatures cover the verdict, so no party after the validator can change it.</w:t>
      </w:r>
    </w:p>
    <w:p>
      <w:pPr>
        <w:pStyle w:val="BodyText"/>
      </w:pPr>
      <w:r>
        <w:t xml:space="preserve">C-Ring, the ring over which σ_C is verified, excludes the three currently active gatekeepers’ own ring-signing keys. This is a role-separation requirement: all Registry Nodes hold a ring-signing private key and retain it when rotating into the gatekeeper role, so without the exclusion a compromised gatekeeper could produce σ_C values that pass verification as legitimate C-pool submissions, impersonating C in the credential path without holding C’s own key. The exclusion does not affect quorum-forgery resistance, which is independently protected by the validator’s signing key (Appendix A.4).</w:t>
      </w:r>
    </w:p>
    <w:p>
      <w:pPr>
        <w:pStyle w:val="BodyText"/>
      </w:pPr>
      <w:r>
        <w:t xml:space="preserve">Once both checks pass, a gatekeeper signs C’s signature with its own Registry Node signing key and, after </w:t>
      </w:r>
      <w:r>
        <w:t xml:space="preserve">the same randomized timing hold R6 requires of channel traffic (hold values in Section 3.4)</w:t>
      </w:r>
      <w:r>
        <w:t xml:space="preserve">, posts the result, its own signature chained over C’s, to its own paired match board</w:t>
      </w:r>
      <w:r>
        <w:t xml:space="preserve">, discarding BlindShare_key and the validator’s signature immediately</w:t>
      </w:r>
      <w:r>
        <w:t xml:space="preserve">.</w:t>
      </w:r>
      <w:r>
        <w:t xml:space="preserve"> An immediate post would let a compromised content channel server infer C’s fan-out timing from the gatekeeper’s own posting time; Appendix D tests removing every hold together (D.5), not this hold alone.</w:t>
      </w:r>
    </w:p>
    <w:p>
      <w:pPr>
        <w:pStyle w:val="BodyText"/>
      </w:pPr>
      <w:r>
        <w:t xml:space="preserve">The three match boards operate independently: each is paired with exactly one gatekeeper, and neither the gatekeepers nor the boards coordinate with each other during posting. A content channel server checks a candidate FullPacketHash against all three boards, confirming each posting carries a valid signature from that board’s own gatekeeper chained over a valid signature from C over the same value. </w:t>
      </w:r>
      <w:r>
        <w:t xml:space="preserve">The server proceeds only once the same FullPacketHash and verdict, backed by both valid signatures, appear on at least two of the three. The verdict it records is the one the quorum agrees on.</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FullPacketHash C never actually approved. Replaying a genuine, already-approved C-signature onto a fabricated FullPacketHash fails the same way forging one would</w:t>
      </w:r>
      <w:r>
        <w:t xml:space="preserve">. </w:t>
      </w:r>
      <w:r>
        <w:t xml:space="preserve">Appendix A.4 verifies </w:t>
      </w:r>
      <w:r>
        <w:t xml:space="preserve">that no pair of FullPacketHash and verdict reaches a two-board quorum unless the validator issued that pair</w:t>
      </w:r>
      <w:r>
        <w:t xml:space="preserve">, both when one gatekeeper’s complete key set is compromised and when two of the three are.</w:t>
      </w:r>
    </w:p>
    <w:p>
      <w:pPr>
        <w:pStyle w:val="BodyText"/>
      </w:pPr>
      <w:r>
        <w:t xml:space="preserve">Once the quorum agrees, each content channel server signs and submits its own entry to the Birthmark Media Registry. The entry carries ContentHash together with the quorum’s verdict and any optional fields the device supplied, all covered by the server’s signature. The server signs with a registry-signing key held only for this purpose, separate from the Channel Key that decrypted its own content channel. No key at either server does both jobs.</w:t>
      </w:r>
      <w:r>
        <w:t xml:space="preserve"> The registry finalizes a ContentHash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w:t>
      </w:r>
      <w:r>
        <w:t xml:space="preserve"> The registry’s write rule additionally collapses duplicate submissions: if a record with the same ContentHash already exists, a new submission attempting to post that hash is recognized against the existing record. </w:t>
      </w:r>
      <w:r>
        <w:t xml:space="preserve">This stops a signed FullPacketHash being posted twice to make existing content appear newly authenticated.</w:t>
      </w:r>
    </w:p>
    <w:p>
      <w:pPr>
        <w:pStyle w:val="BodyText"/>
      </w:pPr>
      <w:r>
        <w:t xml:space="preserve">Once finalized, the registry record contains: the ContentHash, the validator’s verdict (one byte: the Modification Flag and a four-class deviation bucket, zero for an unedited capture), the Optional-Field Flags byte marking which optional fields are present, the parent ContentHash when the submission is an edit, an optional Capture Metadata Hash,</w:t>
      </w:r>
      <w:r>
        <w:t xml:space="preserve"/>
      </w:r>
      <w:r>
        <w:t xml:space="preserve"> </w:t>
      </w:r>
      <w:r>
        <w:t xml:space="preserve">and a posting timestamp</w:t>
      </w:r>
      <w:r>
        <w:t xml:space="preserve"> rounded to a privacy-preserving interval.</w:t>
      </w:r>
      <w:r>
        <w:t xml:space="preserve"> The registry verifies the two servers’ signatures when it receives their entries and then discards them, so the record holds no signature and names neither server.</w:t>
      </w:r>
      <w:r>
        <w:t xml:space="preserve"> The registry record contains no device identifier, no manufacturer identifier, and no information that allows an observer to determine which device produced which content</w:t>
      </w:r>
      <w:r>
        <w:t xml:space="preserve">.</w:t>
      </w:r>
      <w:r>
        <w:t xml:space="preserve"> No signature from the validator, the credential channel server or a gatekeeper is posted to the registry: the validator’s signature goes no further than the gatekeepers, which discard it, and the other two stay on the match boards.</w:t>
      </w:r>
      <w:r>
        <w:t xml:space="preserve"/>
      </w:r>
    </w:p>
    <w:p>
      <w:pPr>
        <w:pStyle w:val="BodyText"/>
      </w:pPr>
      <w:r>
        <w:t xml:space="preserve">The Birthmark Media Registry, a consortium blockchain, is used rather than a simpler append-only transparency log (such as Certificate Transparency) because append-only ledgers alone do not protect against compelled censorship.</w:t>
      </w:r>
      <w:r>
        <w:t xml:space="preserve"> The Birthmark Media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r>
        <w:t xml:space="preserve"> The registry uses the Substrate framework, which supports permissioned deployments with controlled validator sets independent of any public cryptocurrency.</w:t>
      </w:r>
    </w:p>
    <w:p>
      <w:pPr>
        <w:pStyle w:val="Heading2"/>
      </w:pPr>
      <w:r>
        <w:rPr>
          <w:b/>
          <w:bCs/>
        </w:rPr>
        <w:t xml:space="preserve">3.4 Timing</w:t>
      </w:r>
    </w:p>
    <w:p>
      <w:pPr>
        <w:pStyle w:val="BodyText"/>
      </w:pPr>
      <w:r>
        <w:t xml:space="preserve">Every hold in the protocol uses the same lottery shape: a 10-second tick, geometric release, with unconditional release at three times the hold’s own mean. Table </w:t>
      </w:r>
      <w:r>
        <w:t xml:space="preserve">3</w:t>
      </w:r>
      <w:r>
        <w:t xml:space="preserve"> gives the mean hold at each stage. A relay sets its mean by its position on the path: 60 s at the first relay and 300 s at the second, which add to 360 s along every path. A first relay re-encrypts the routing code with the payload and a second relay forwards the payload alone, so each relay knows its position. No relay carries a role-specific parameter, since a relay cannot determine whether it is on the credential path or a content path from the opaque ciphertext it forwards. The device holds 240 s on each content channel and 120 s on the credential channel. Appendix D measures the holds as one set.</w:t>
      </w:r>
    </w:p>
    <w:p>
      <w:pPr>
        <w:pStyle w:val="TableCaption"/>
      </w:pPr>
      <w:r>
        <w:rPr>
          <w:b/>
          <w:bCs/>
        </w:rPr>
        <w:t xml:space="preserve">Table </w:t>
      </w:r>
      <w:r>
        <w:rPr>
          <w:b/>
          <w:bCs/>
        </w:rPr>
        <w:t xml:space="preserve">3</w:t>
      </w:r>
      <w:r>
        <w:rPr>
          <w:b/>
          <w:bCs/>
        </w:rPr>
        <w:t xml:space="preserve">.</w:t>
      </w:r>
      <w:r>
        <w:t xml:space="preserve"> Mean hold at each stage. Every hold uses the lottery shape described above.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6361"/>
        <w:gridCol w:w="2998"/>
      </w:tblGrid>
      <w:tr>
        <w:trPr>
          <w:cantSplit/>
          <w:tblHeader w:val="true"/>
        </w:trPr>
        <w:tc>
          <w:tcPr>
            <w:tcW w:w="6361" w:type="dxa"/>
            <w:tcBorders>
              <w:top w:val="single" w:sz="12" w:space="0" w:color="000000"/>
              <w:bottom w:val="single" w:sz="6" w:space="0" w:color="000000"/>
            </w:tcBorders>
            <w:vAlign w:val="bottom"/>
          </w:tcPr>
          <w:p>
            <w:pPr>
              <w:pStyle w:val="TableText"/>
              <w:keepNext/>
            </w:pPr>
            <w:r>
              <w:rPr>
                <w:b/>
                <w:bCs/>
              </w:rPr>
              <w:t xml:space="preserve">Stage</w:t>
            </w:r>
          </w:p>
        </w:tc>
        <w:tc>
          <w:tcPr>
            <w:tcW w:w="2998" w:type="dxa"/>
            <w:tcBorders>
              <w:top w:val="single" w:sz="12" w:space="0" w:color="000000"/>
              <w:bottom w:val="single" w:sz="6" w:space="0" w:color="000000"/>
            </w:tcBorders>
            <w:vAlign w:val="bottom"/>
          </w:tcPr>
          <w:p>
            <w:pPr>
              <w:pStyle w:val="TableText"/>
              <w:keepNext/>
            </w:pPr>
            <w:r>
              <w:rPr>
                <w:b/>
                <w:bCs/>
              </w:rPr>
              <w:t xml:space="preserve">Mean hold</w:t>
            </w:r>
          </w:p>
        </w:tc>
      </w:tr>
      <w:tr>
        <w:trPr>
          <w:cantSplit/>
        </w:trPr>
        <w:tc>
          <w:tcPr>
            <w:tcW w:w="6361" w:type="dxa"/>
            <w:tcBorders>
              <w:bottom w:val="single" w:sz="2" w:space="0" w:color="BFBFBF"/>
            </w:tcBorders>
            <w:vAlign w:val="top"/>
          </w:tcPr>
          <w:p>
            <w:pPr>
              <w:pStyle w:val="TableText"/>
              <w:keepNext/>
            </w:pPr>
            <w:r>
              <w:t xml:space="preserve">Device: each content channel, before first relay</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Device: credential channel, before first relay</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First relay (A, D, G), every path</w:t>
            </w:r>
          </w:p>
        </w:tc>
        <w:tc>
          <w:tcPr>
            <w:tcW w:w="2998" w:type="dxa"/>
            <w:tcBorders>
              <w:bottom w:val="single" w:sz="2" w:space="0" w:color="BFBFBF"/>
            </w:tcBorders>
            <w:vAlign w:val="top"/>
          </w:tcPr>
          <w:p>
            <w:pPr>
              <w:pStyle w:val="TableText"/>
              <w:keepNext/>
            </w:pPr>
            <w:r>
              <w:t xml:space="preserve">60 s</w:t>
            </w:r>
          </w:p>
        </w:tc>
      </w:tr>
      <w:tr>
        <w:trPr>
          <w:cantSplit/>
        </w:trPr>
        <w:tc>
          <w:tcPr>
            <w:tcW w:w="6361" w:type="dxa"/>
            <w:tcBorders>
              <w:bottom w:val="single" w:sz="2" w:space="0" w:color="BFBFBF"/>
            </w:tcBorders>
            <w:vAlign w:val="top"/>
          </w:tcPr>
          <w:p>
            <w:pPr>
              <w:pStyle w:val="TableText"/>
              <w:keepNext/>
            </w:pPr>
            <w:r>
              <w:t xml:space="preserve">Second relay (B, E, H), every path</w:t>
            </w:r>
          </w:p>
        </w:tc>
        <w:tc>
          <w:tcPr>
            <w:tcW w:w="2998" w:type="dxa"/>
            <w:tcBorders>
              <w:bottom w:val="single" w:sz="2" w:space="0" w:color="BFBFBF"/>
            </w:tcBorders>
            <w:vAlign w:val="top"/>
          </w:tcPr>
          <w:p>
            <w:pPr>
              <w:pStyle w:val="TableText"/>
              <w:keepNext/>
            </w:pPr>
            <w:r>
              <w:t xml:space="preserve">300 s</w:t>
            </w:r>
          </w:p>
        </w:tc>
      </w:tr>
      <w:tr>
        <w:trPr>
          <w:cantSplit/>
        </w:trPr>
        <w:tc>
          <w:tcPr>
            <w:tcW w:w="6361" w:type="dxa"/>
            <w:tcBorders>
              <w:bottom w:val="single" w:sz="2" w:space="0" w:color="BFBFBF"/>
            </w:tcBorders>
            <w:vAlign w:val="top"/>
          </w:tcPr>
          <w:p>
            <w:pPr>
              <w:pStyle w:val="TableText"/>
              <w:keepNext/>
            </w:pPr>
            <w:r>
              <w:t xml:space="preserve">C: before sending the credential path forward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Validator: before returning its reply</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C: fan-out to each gatekeeper</w:t>
            </w:r>
          </w:p>
        </w:tc>
        <w:tc>
          <w:tcPr>
            <w:tcW w:w="2998" w:type="dxa"/>
            <w:tcBorders>
              <w:bottom w:val="single" w:sz="2" w:space="0" w:color="BFBFBF"/>
            </w:tcBorders>
            <w:vAlign w:val="top"/>
          </w:tcPr>
          <w:p>
            <w:pPr>
              <w:pStyle w:val="TableText"/>
              <w:keepNext/>
            </w:pPr>
            <w:r>
              <w:t xml:space="preserve">20 s per draw, one draw at a time, so the three legs leave one after another</w:t>
            </w:r>
          </w:p>
        </w:tc>
      </w:tr>
      <w:tr>
        <w:trPr>
          <w:cantSplit/>
        </w:trPr>
        <w:tc>
          <w:tcPr>
            <w:tcW w:w="6361" w:type="dxa"/>
            <w:tcBorders>
              <w:bottom w:val="single" w:sz="2" w:space="0" w:color="BFBFBF"/>
            </w:tcBorders>
            <w:vAlign w:val="top"/>
          </w:tcPr>
          <w:p>
            <w:pPr>
              <w:pStyle w:val="TableText"/>
              <w:keepNext/>
            </w:pPr>
            <w:r>
              <w:t xml:space="preserve">F and I: pre-match, before checking the boards</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F and I: post-match, after quorum is confirmed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12" w:space="0" w:color="000000"/>
            </w:tcBorders>
            <w:vAlign w:val="top"/>
          </w:tcPr>
          <w:p>
            <w:pPr>
              <w:pStyle w:val="TableText"/>
            </w:pPr>
            <w:r>
              <w:t xml:space="preserve">Gatekeeper departure-bundle lottery</w:t>
            </w:r>
          </w:p>
        </w:tc>
        <w:tc>
          <w:tcPr>
            <w:tcW w:w="2998" w:type="dxa"/>
            <w:tcBorders>
              <w:bottom w:val="single" w:sz="12" w:space="0" w:color="000000"/>
            </w:tcBorders>
            <w:vAlign w:val="top"/>
          </w:tcPr>
          <w:p>
            <w:pPr>
              <w:pStyle w:val="TableText"/>
            </w:pPr>
            <w:r>
              <w:t xml:space="preserve">30 s boundaries, 25% chance of boarding at each, unconditional inclusion at the 12th</w:t>
            </w:r>
          </w:p>
        </w:tc>
      </w:tr>
    </w:tbl>
    <w:p>
      <w:pPr>
        <w:pStyle w:val="BodyText"/>
        <w:spacing w:before="200"/>
      </w:pPr>
      <w:r>
        <w:t xml:space="preserve">Once a gatekeeper’s hold has expired, a posting enters a departure bundle lottery (last row of Table </w:t>
      </w:r>
      <w:r>
        <w:t xml:space="preserve">3</w:t>
      </w:r>
      <w:r>
        <w:t xml:space="preserve">). This decouples when a packet became ready from which bundle it departs in, so that two packets ready moments apart may leave in different bundles and two ready far apart may leave in the same one. F and I’s independent post-match lottery keeps the two servers from submitting within seconds of each other when quorum outlasts both pre-match holds. Confirmed submissions enter a shared 120-second registry bundle, so the registry commit time is not a direct proxy for either server’s own submission moment. About one hundred decoy transactions from registered decoy identities are in flight on average; each produces a permanent registry record structurally identical to a real one.</w:t>
      </w:r>
    </w:p>
    <w:p>
      <w:pPr>
        <w:pStyle w:val="Heading2"/>
      </w:pPr>
      <w:r>
        <w:rPr>
          <w:b/>
          <w:bCs/>
        </w:rPr>
        <w:t xml:space="preserve">3.5</w:t>
      </w:r>
      <w:r>
        <w:rPr>
          <w:b/>
          <w:bCs/>
        </w:rPr>
        <w:t xml:space="preserve"> Verification</w:t>
      </w:r>
    </w:p>
    <w:p>
      <w:pPr>
        <w:pStyle w:val="BodyText"/>
      </w:pPr>
      <w:r>
        <w:t xml:space="preserve">Public verification requires only the media content. A verifier computes the ContentHash locally and queries the registry directly. The registry returns a record if one exists.</w:t>
      </w:r>
    </w:p>
    <w:p>
      <w:pPr>
        <w:pStyle w:val="BodyText"/>
      </w:pPr>
      <w:r>
        <w:t xml:space="preserve">The registry intentionally</w:t>
      </w:r>
      <w:r>
        <w:t xml:space="preserve"> does not support attribution search, reverse lookup, or photographer enumeration. </w:t>
      </w:r>
      <w:r>
        <w:t xml:space="preserve">A verifier can ask the registry whether an image came from a registered device, but it lacks enough information to answer which one.</w:t>
      </w:r>
    </w:p>
    <w:p>
      <w:pPr>
        <w:pStyle w:val="Heading1"/>
      </w:pPr>
      <w:r>
        <w:rPr>
          <w:b/>
          <w:bCs/>
        </w:rPr>
        <w:t xml:space="preserve">4 THREAT MODEL AND FORMAL PRIVACY PROPERTIES</w:t>
      </w:r>
    </w:p>
    <w:p>
      <w:pPr>
        <w:pStyle w:val="BodyText"/>
      </w:pPr>
      <w:r>
        <w:t xml:space="preserve">SNA is applied in five steps. First, name the target function f. Second, list each component and the fields it holds (Table 2, Section 3.2). Third, define the adversary class (Section 4.1). Fourth, for each component in the class, give the attacker everything it holds, keys included, and test whether it can distinguish two assignments of devices to content, with the verdict held equal in both. Each test has a twin with one deliberate fault that must fail (Appendix A). Fifth, measure what the symbolic model leaves out, timing and traffic, against an observer holding no keys (Appendix D).</w:t>
      </w:r>
      <w:r>
        <w:t xml:space="preserve"/>
      </w:r>
    </w:p>
    <w:p>
      <w:pPr>
        <w:pStyle w:val="BodyText"/>
      </w:pPr>
      <w:r>
        <w:t xml:space="preserve">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Heading2"/>
      </w:pPr>
      <w:r>
        <w:rPr>
          <w:b/>
          <w:bCs/>
        </w:rPr>
        <w:t xml:space="preserve">4.1 Adversary Model</w:t>
      </w:r>
    </w:p>
    <w:p>
      <w:pPr>
        <w:pStyle w:val="BodyText"/>
      </w:pPr>
      <w:r>
        <w:rPr>
          <w:b/>
          <w:bCs/>
        </w:rPr>
        <w:t xml:space="preserve">Out of scope.</w:t>
      </w:r>
      <w:r>
        <w:t xml:space="preserve"> Cross-role compromise (Section 4.6) and legal compulsion of a single operator (handled by governance removal, Section 6.2). Observing both delivery paths without compromising a component is in scope and does not enable correlation, because FullPacketHash reaches the validator only as Enc_FullPacketHash (Section 3.2).</w:t>
      </w:r>
    </w:p>
    <w:p>
      <w:pPr>
        <w:pStyle w:val="BodyText"/>
      </w:pPr>
      <w:r>
        <w:rPr>
          <w:b/>
          <w:bCs/>
        </w:rPr>
        <w:t xml:space="preserve">Network Adversary (A_NET).</w:t>
      </w:r>
      <w:r>
        <w:t xml:space="preserve"> Controls network infrastructure between system components, with the ability to intercept, modify, replay, and inject messages on public channels. Registry Nodes may be compromised: a compromised node can inspect whatever its role in a transaction handles (for a content channel server, the content channel and the verdict relayed by the gatekeeper quorum) but</w:t>
      </w:r>
      <w:r>
        <w:t xml:space="preserve"> cannot decrypt encrypted device tokens (only the credential validator holds decryption keys) and cannot forge validator signatures. Up to 33% of Registry Nodes may be compromised; honest Registry Nodes retain the majority required for record finalization above this threshold. </w:t>
      </w:r>
      <w:r>
        <w:t xml:space="preserve">Simultaneous compromise of components in different roles (cross-role compromise) requires coordinated compromise across organizational boundaries. It is outside the adversary class, and SNA makes no claim about it; Section 4.6 states what it yields. The independence requirements, governance removal and audit of Section 6.2 exist to prevent it. Compromise of several operators in the same role (same-role compromise) is bounded under A_PRIV below.</w:t>
      </w:r>
    </w:p>
    <w:p>
      <w:pPr>
        <w:pStyle w:val="BodyText"/>
      </w:pPr>
      <w:r>
        <w:rPr>
          <w:b/>
          <w:bCs/>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hardware credentials is also within scope. </w:t>
      </w:r>
      <w:r>
        <w:t xml:space="preserve">Replicating manufacturing-calibrated hardware fingerprints requires physical access to manufacturing equipment; no practical attack is publicly known, though this is an empirical observation, not a formal bound.</w:t>
      </w:r>
      <w:r>
        <w:t xml:space="preserve"> Successful extraction affects only the compromised device and any Token Key and member list it shares with other devices.</w:t>
      </w:r>
    </w:p>
    <w:p>
      <w:pPr>
        <w:pStyle w:val="BodyText"/>
      </w:pPr>
      <w:r>
        <w:rPr>
          <w:b/>
          <w:bCs/>
        </w:rPr>
        <w:t xml:space="preserve">Privacy Adversary (A_PRIV).</w:t>
      </w:r>
      <w:r>
        <w:t xml:space="preserve"> Seeks to correlate specific capture devices to specific verified content records. Capabilities include: observation of all Birthmark Media Registry records; monitoring of network traffic including timing and packet sizes; access to any single system component (a first relay, a second relay, the credential validator, C, a gatekeeper, a content channel server, or a Registry Node)</w:t>
      </w:r>
      <w:r>
        <w:t xml:space="preserve"/>
      </w:r>
      <w:r>
        <w:t xml:space="preserve"> </w:t>
      </w:r>
      <w:r>
        <w:t xml:space="preserve">but not components in more than one role simultaneously (cross-role compromise); the bound on same-role compromise is given below.</w:t>
      </w:r>
      <w:r>
        <w:t xml:space="preserve"> Cannot break AES-256 encryption or SHA-256 collision resistance. </w:t>
      </w:r>
      <w:r>
        <w:t xml:space="preserve">Legal compulsion of a single operator is out of scope (above); simultaneous multi-jurisdictional compulsion across roles is cross-role compromise.</w:t>
      </w:r>
    </w:p>
    <w:p>
      <w:pPr>
        <w:pStyle w:val="BodyText"/>
      </w:pPr>
      <w:r>
        <w:rPr/>
        <w:t xml:space="preserve">A_PRIV’s network-monitoring capability is a Global Passive Adversary (GPA) in the sense established in the anonymity-network literature. This is</w:t>
      </w:r>
      <w:r>
        <w:t xml:space="preserve"> a stronger observational capability than most deployed anonymity systems defend against</w:t>
      </w:r>
      <w:r>
        <w:t xml:space="preserve">; Tor’s threat model, for example, excludes it [15]</w:t>
      </w:r>
      <w:r>
        <w:t xml:space="preserve">.</w:t>
      </w:r>
      <w:r>
        <w:t xml:space="preserve"> </w:t>
      </w:r>
      <w:r>
        <w:t xml:space="preserve">Raw observational capability is not, by itself, a successful correlation attack:</w:t>
      </w:r>
      <w:r>
        <w:t xml:space="preserve"> </w:t>
      </w:r>
      <w:r>
        <w:t xml:space="preserve">a global adversary still needs a candidate content item</w:t>
      </w:r>
      <w:r>
        <w:t xml:space="preserve"> to check against, needs to know which of potentially several manufacturer validators to target, and, since FullPacketHash is discarded immediately after use, needs to have already been recording validator-adjacent traffic before the submission of interest occurred. </w:t>
      </w:r>
      <w:r>
        <w:t xml:space="preserve">What the proofs cover with respect to this capability is stated in Appendix A.5.</w:t>
      </w:r>
      <w:r>
        <w:t xml:space="preserve"> A_PRIV’s two capabilities, network monitoring and single-component access, </w:t>
      </w:r>
      <w:r>
        <w:t xml:space="preserve">are granted together. Appendix D evaluates the passive case: no adversary injects, delays or drops packets.</w:t>
      </w:r>
    </w:p>
    <w:p>
      <w:pPr>
        <w:pStyle w:val="BodyText"/>
      </w:pPr>
      <w:r>
        <w:t xml:space="preserve">A_PRIV’s same-role multi-component bound is fixed-capacity, not proportional. A_NET’s 33% figure is a property of the consensus protocol: below that fraction any two honest Registry Node quorums overlap, so the bound scales with the size of the Registry Node set. Device Non-Correlation is a different kind of claim. “Same-role multi-component compromise” here means several operators holding the same role compromised at once, through a single shared vulnerability or a single jurisdiction’s legal reach. That capacity belongs to the adversary’s operational reach and does not grow when the consortium recruits additional members.</w:t>
      </w:r>
    </w:p>
    <w:p>
      <w:pPr>
        <w:pStyle w:val="BodyText"/>
      </w:pPr>
      <w:r>
        <w:t xml:space="preserve">Two independent partitions of the operator pool bound that reach, and the weaker one governs. Jurisdictional partitioning bounds simultaneous legal compulsion, since no government can compel operators outside its own jurisdiction. Infrastructural partitioning bounds simultaneous technical compromise: each operator runs one internally consistent hardware and software stack, and no two operators share a stack profile beyond what a small, fixed number of profiles requires, so a single vulnerability in a shared product reaches only the operators on that profile. Stack assignments are disclosed to the governance and audit body but not published, so the partitioning is auditable without becoming a map for targeting profiles. How many operators either partition permits reaching at once is a deployment choice (Section 6.2).</w:t>
      </w:r>
    </w:p>
    <w:p>
      <w:pPr>
        <w:pStyle w:val="BodyText"/>
      </w:pPr>
      <w:r>
        <w:t xml:space="preserve">Compromised Registry Nodes learn only what the registry-observer row of Table 4 discloses, and reaching the thresholds of Properties D through I requires the same spread</w:t>
      </w:r>
      <w:r>
        <w:t xml:space="preserve"/>
      </w:r>
      <w:r>
        <w:t xml:space="preserve"/>
      </w:r>
      <w:r>
        <w:t xml:space="preserve"/>
      </w:r>
      <w:r>
        <w:t xml:space="preserve">, undetected, across every operator involved.</w:t>
      </w:r>
    </w:p>
    <w:p>
      <w:pPr>
        <w:pStyle w:val="Heading2"/>
      </w:pPr>
      <w:r>
        <w:rPr>
          <w:b/>
          <w:bCs/>
        </w:rPr>
        <w:t xml:space="preserve">4.2 Design Requirements</w:t>
      </w:r>
    </w:p>
    <w:p>
      <w:pPr>
        <w:pStyle w:val="BodyText"/>
      </w:pPr>
      <w:r>
        <w:rPr>
          <w:b/>
          <w:bCs/>
        </w:rPr>
        <w:t xml:space="preserve">R1: Device-Rooted Authenticity.</w:t>
      </w:r>
      <w: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The binding hash in the token (Section 3.2) prevents the credential channel server from attaching a genuine token to a FullPacketHash the device did not send (Property L, Appendix A.4). This covers the device side of authenticity; it does not by itself stop an infrastructure operator from posting a record no device or validator ever produced. That is a separate failure mode, closed by the dual-approval mechanism in Section 3.3</w:t>
      </w:r>
      <w:r>
        <w:t xml:space="preserve">.</w:t>
      </w:r>
    </w:p>
    <w:p>
      <w:pPr>
        <w:pStyle w:val="BodyText"/>
      </w:pPr>
      <w:r>
        <w:rPr>
          <w:b/>
          <w:bCs/>
        </w:rPr>
        <w:t xml:space="preserve">R2: Privacy Preservation.</w:t>
      </w:r>
      <w:r>
        <w:t xml:space="preserve"> No single party can correlate a specific capture device to specific verified content. This is SNA (Section 1.1) for the link from content to device. Privacy is computational: it holds against a global passive network observer who has compromised no component, and against C, a content channel server, a first relay, a gatekeeper and the credential validator, each individually.</w:t>
      </w:r>
      <w:r>
        <w:t xml:space="preserve"/>
      </w:r>
    </w:p>
    <w:p>
      <w:pPr>
        <w:pStyle w:val="BodyText"/>
      </w:pPr>
      <w:r>
        <w:rPr>
          <w:b/>
          <w:bCs/>
        </w:rPr>
        <w:t xml:space="preserve">R3: Metadata Independence.</w:t>
      </w:r>
      <w:r>
        <w:t xml:space="preserve"> Verification records must survive format conversion, compression, and platform reprocessing performed by a CMPS.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CMPS, which already holds both the original and the derived content because it is the software performing the edit. </w:t>
      </w:r>
      <w:r>
        <w:t xml:space="preserve">Verification of the resulting record is identical</w:t>
      </w:r>
      <w:r>
        <w:t xml:space="preserve"> to verification of any other record in the registry. Reprocessing performed outside a CMPS, such as a platform’s own automatic recompression on upload, does not preserve this chain; Section 6.3 (Adoption dependency) extends the same coverage limitation already stated for non-participating manufacturers to non-participating CMPS.</w:t>
      </w:r>
    </w:p>
    <w:p>
      <w:pPr>
        <w:pStyle w:val="BodyText"/>
      </w:pPr>
      <w:r>
        <w:t xml:space="preserve">The CMPS authenticates an edit by predictive matching. This authentication is software-attested and not anchored in the original device’s Hardware Root of Trust (HRoT), which weakens R1’s hardware-credential guarantee correspondingly for edited records. It records the editing operations applied, predicts their expected effect on the parent image (the Predicted Result), and measures the deviation between that prediction and what was actually saved, as the Deviation Score, similar in spirit to a perceptual hash tolerating expected variation while flagging a change outside it. </w:t>
      </w:r>
      <w:r>
        <w:t xml:space="preserve">The CMPS sends that Deviation Score, with the classes of tool applied, as its claim, and the validator role, held by the developer’s server, turns it into the verdict recorded with the edit. A large deviation, or a declared content-changing tool, sets Modification Flag bits: a flagged record, chained to its parent by ContentHash. The verdict is the validator’s attestation, not a measurement the protocol checks. A verifier</w:t>
      </w:r>
      <w:r>
        <w:t xml:space="preserve"> holding both images can confirm the relationship directly without either record carrying a device identifier.</w:t>
      </w:r>
    </w:p>
    <w:p>
      <w:pPr>
        <w:pStyle w:val="BodyText"/>
      </w:pPr>
      <w:r>
        <w:rPr>
          <w:b/>
          <w:bCs/>
        </w:rPr>
        <w:t xml:space="preserve">R4: Public Verifiability.</w:t>
      </w:r>
      <w:r>
        <w:t xml:space="preserve"> Any party must be able to verify content authenticity without credentials or intermediary, without revealing the verifier’s identity.</w:t>
      </w:r>
    </w:p>
    <w:p>
      <w:pPr>
        <w:pStyle w:val="BodyText"/>
      </w:pPr>
      <w:r>
        <w:rPr>
          <w:b/>
          <w:bCs/>
        </w:rPr>
        <w:t xml:space="preserve">R5: Minimal Storage.</w:t>
      </w:r>
      <w:r>
        <w:t xml:space="preserve"> Registry records are compact (</w:t>
      </w:r>
      <w:r>
        <w:t xml:space="preserve">42 bytes on-chain for a capture, at most 106 with both optional fields</w:t>
      </w:r>
      <w:r>
        <w:t xml:space="preserve">),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
          <w:bCs/>
        </w:rPr>
        <w:t xml:space="preserve">R6: Transit Unlinkability.</w:t>
      </w:r>
      <w:r>
        <w:t xml:space="preserve"> The content channel and credential channel must be delivered to their respective destinations so that no single first-relay recipient receives both channels as first relay, and no destination receives both channels as destination. No server that handles</w:t>
      </w:r>
      <w:r>
        <w:t xml:space="preserve"> packets of more than one of the submission’s paths, whether as an intermediary or as the first relay of one path and the destination of another, can identify them as belonging to the same submission. Neither destination,</w:t>
      </w:r>
      <w:r>
        <w:t xml:space="preserve"> in the ordinary course of receiving its own channel, learns the device’s real network-layer identity (its source IP address). Recipients are counted by operator: two servers run by the same operator count as one recipient. R6 is a requirement on the delivery mechanism. Hashing and encryption</w:t>
      </w:r>
      <w:r>
        <w:t xml:space="preserve"> (Section 3.2) stop a party holding one channel from reading the other, but cannot stop a party that observes both channels in transit from linking them, or stop either destination from seeing the device’s source address.</w:t>
      </w:r>
      <w:r>
        <w:t xml:space="preserve"> The delivery requirements that satisfy this requirement are specified in Section 3.2. “Identify” here means by anything the packets carry: contents, keys or routing markers. Inference from timing and volume is a statistical question, measured in Appendix D, and a residual rate there does not breach R6.</w:t>
      </w:r>
    </w:p>
    <w:p>
      <w:pPr>
        <w:pStyle w:val="Heading2"/>
      </w:pPr>
      <w:r>
        <w:rPr>
          <w:b/>
          <w:bCs/>
        </w:rPr>
        <w:t xml:space="preserve">4.3 Device Non-Correlation</w:t>
      </w:r>
    </w:p>
    <w:p>
      <w:pPr>
        <w:pStyle w:val="BodyText"/>
      </w:pPr>
      <w:r>
        <w:rPr>
          <w:b/>
          <w:bCs/>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ContentHash values within the defined adversary model.</w:t>
      </w:r>
    </w:p>
    <w:p>
      <w:pPr>
        <w:pStyle w:val="Heading2"/>
      </w:pPr>
      <w:r>
        <w:rPr>
          <w:b/>
          <w:bCs/>
        </w:rPr>
        <w:t xml:space="preserve">4.4 Registry Observer Non-Identification</w:t>
      </w:r>
    </w:p>
    <w:p>
      <w:pPr>
        <w:pStyle w:val="BodyText"/>
      </w:pPr>
      <w:r>
        <w:rPr>
          <w:b/>
          <w:bCs/>
        </w:rPr>
        <w:t xml:space="preserve">Property:</w:t>
      </w:r>
      <w:r>
        <w:t xml:space="preserve"> Registry observers </w:t>
      </w:r>
      <w:r>
        <w:t xml:space="preserve">see ContentHash values, verdicts and coarsened posting timestamps but</w:t>
      </w:r>
      <w:r>
        <w:t xml:space="preserve"> cannot identify devices, credential validators, or content creators. Given a registry record </w:t>
      </w:r>
      <w:r>
        <w:t xml:space="preserve">containing only ContentHash, verdict,</w:t>
      </w:r>
      <w:r>
        <w:t xml:space="preserve"> </w:t>
      </w:r>
      <w:r>
        <w:t xml:space="preserve">the Optional-Field Flags byte, the optional parent and metadata hashes, and a coarsened timestamp</w:t>
      </w:r>
      <w:r>
        <w:t xml:space="preserve">, observer O cannot determine which device produced it with probability greater than random guessing over the registered device population.</w:t>
      </w:r>
    </w:p>
    <w:p>
      <w:pPr>
        <w:pStyle w:val="Heading2"/>
      </w:pPr>
      <w:r>
        <w:rPr>
          <w:b/>
          <w:bCs/>
        </w:rPr>
        <w:t xml:space="preserve">4.5 Content Channel Server Blindness</w:t>
      </w:r>
    </w:p>
    <w:p>
      <w:pPr>
        <w:pStyle w:val="BodyText"/>
      </w:pPr>
      <w:r>
        <w:rPr>
          <w:b/>
          <w:bCs/>
        </w:rPr>
        <w:t xml:space="preserve">Property:</w:t>
      </w:r>
      <w:r>
        <w:t xml:space="preserve"> Content channel servers receive the content channel directly from the device but never the credential channel, and cannot identify specific devices. The device token T = ECIES(Cred_HW || replay_nonce || claim || binding_hash, V-token_pk)</w:t>
      </w:r>
      <w:r>
        <w:t xml:space="preserve">, where:</w:t>
      </w:r>
    </w:p>
    <w:p>
      <w:pPr>
        <w:pStyle w:val="Compact"/>
        <w:numPr>
          <w:ilvl w:val="0"/>
          <w:numId w:val="1"/>
        </w:numPr>
      </w:pPr>
      <w:r>
        <w:t xml:space="preserve">Cred_HW is the hardware credential (a CMPS sends its software credential, Cred_SW, in the same field).</w:t>
      </w:r>
    </w:p>
    <w:p>
      <w:pPr>
        <w:pStyle w:val="Compact"/>
        <w:numPr>
          <w:ilvl w:val="0"/>
          <w:numId w:val="1"/>
        </w:numPr>
      </w:pPr>
      <w:r>
        <w:t xml:space="preserve">replay_nonce is a single-use nonce that carries the UTC date; the validator refuses an out-of-range date and records the rest to detect reuse.</w:t>
      </w:r>
    </w:p>
    <w:p>
      <w:pPr>
        <w:pStyle w:val="Compact"/>
        <w:numPr>
          <w:ilvl w:val="0"/>
          <w:numId w:val="1"/>
        </w:numPr>
      </w:pPr>
      <w:r>
        <w:t xml:space="preserve">claim is the device’s statement about post-capture processing (Section 3.2).</w:t>
      </w:r>
    </w:p>
    <w:p>
      <w:pPr>
        <w:pStyle w:val="Compact"/>
        <w:numPr>
          <w:ilvl w:val="0"/>
          <w:numId w:val="1"/>
        </w:numPr>
      </w:pPr>
      <w:r>
        <w:t xml:space="preserve">binding_hash is the SHA-256 of Enc_FullPacketHash (Section 3.2).</w:t>
      </w:r>
    </w:p>
    <w:p>
      <w:pPr>
        <w:pStyle w:val="Compact"/>
        <w:numPr>
          <w:ilvl w:val="0"/>
          <w:numId w:val="1"/>
        </w:numPr>
      </w:pPr>
      <w:r>
        <w:t xml:space="preserve">V-token_sk is held exclusively by the validator.</w:t>
      </w:r>
    </w:p>
    <w:p>
      <w:pPr>
        <w:pStyle w:val="BodyText"/>
        <w:spacing w:before="120"/>
      </w:pPr>
      <w:r>
        <w:t xml:space="preserve">T travels only to C and from there to the validator.</w:t>
      </w:r>
      <w:r>
        <w:t xml:space="preserve"> A content channel server never possesses T and so has no ciphertext against which to run any attack; it receives only the content channel and, later, the boards’ posted FullPacketHash values. Content Channel Server Blindness therefore follows directly from the delivery structure rather than requiring a reduction to IND-CCA2 security; </w:t>
      </w:r>
      <w:r>
        <w:t xml:space="preserve">Appendices A.2 and A.3 verify Properties A to C by observational equivalence.</w:t>
      </w:r>
    </w:p>
    <w:p>
      <w:pPr>
        <w:pStyle w:val="Heading2"/>
      </w:pPr>
      <w:r>
        <w:rPr>
          <w:b/>
          <w:bCs/>
        </w:rPr>
        <w:t xml:space="preserve">4.6 Composite Guarantee</w:t>
      </w:r>
    </w:p>
    <w:p>
      <w:pPr>
        <w:pStyle w:val="BodyText"/>
      </w:pPr>
      <w:r>
        <w:t xml:space="preserve"/>
      </w:r>
      <w:r>
        <w:t xml:space="preserve"/>
      </w:r>
      <w:r>
        <w:t xml:space="preserve"/>
      </w:r>
      <w:r>
        <w:t xml:space="preserve"/>
      </w:r>
      <w:r>
        <w:t xml:space="preserve"/>
      </w:r>
      <w:r>
        <w:t xml:space="preserve"/>
      </w:r>
      <w:r>
        <w:t xml:space="preserve"/>
      </w:r>
      <w:r>
        <w:t xml:space="preserve">The base architecture satisfies SNA for f against every coalition within one role: any such compromise yields only attribution-surface fragments (Table 4; confirmed in Appendix A.3).</w:t>
      </w:r>
      <w:r>
        <w:t xml:space="preserve"/>
      </w:r>
      <w:r>
        <w:t xml:space="preserve"/>
      </w:r>
      <w:r>
        <w:t xml:space="preserve"> A compromised validator also holds the verdict for each submission. The verdict is public, so it narrows the candidate records only as far as it is rare among them (Appendix A.3).</w:t>
      </w:r>
    </w:p>
    <w:p>
      <w:pPr>
        <w:pStyle w:val="BodyText"/>
      </w:pPr>
      <w:r>
        <w:t xml:space="preserve">Correlation requires cross-role compromise: the validator together with C, or the validator together with any one gatekeeper (the last two rows of Table </w:t>
      </w:r>
      <w:r>
        <w:t xml:space="preserve">4</w:t>
      </w:r>
      <w:r>
        <w:t xml:space="preserve">).</w:t>
      </w:r>
      <w:r>
        <w:t xml:space="preserve"> This is the cross-role compromise that falls outside the adversary class (Section 4.1);</w:t>
      </w:r>
      <w:r>
        <w:t xml:space="preserve"> the controls in Section 6.2 exist to prevent it. The validator together with C yields the link directly: C triggers registry postings, so a coalition holding C can post one FullPacketHash and observe which record appears (an active attack; Table A.2, row 8). The coalition reaches only the transactions that C handles, about 1 in 17 in the 20-node pool of Appendix D, and its pairs include decoys it cannot tell from real transactions. The validator together with a gatekeeper would need timing correlation, which Appendix D does not evaluate for coalitions.</w:t>
      </w:r>
    </w:p>
    <w:p>
      <w:pPr>
        <w:pStyle w:val="BodyText"/>
      </w:pPr>
      <w:r>
        <w:t xml:space="preserve">Independence at the component level means the credential validator, C, each gatekeeper, and each content channel server must not share ownership, legal jurisdiction, administrative control, operational logs, or key material with one another: the two-signer registry requirement in Section 3.3 assumes the two content channel servers cannot collude, and that assumption rests on the same independence requirement, not on the protocol alone.</w:t>
      </w:r>
    </w:p>
    <w:p>
      <w:pPr>
        <w:pStyle w:val="BodyText"/>
      </w:pPr>
      <w:r>
        <w:t xml:space="preserve">In Table 4, every single-component row ends at a fragment,</w:t>
      </w:r>
      <w:r>
        <w:t xml:space="preserve"/>
      </w:r>
      <w:r>
        <w:t xml:space="preserve"/>
      </w:r>
      <w:r>
        <w:t xml:space="preserve"/>
      </w:r>
      <w:r>
        <w:t xml:space="preserve"> and only the last two rows, which combine components, link device to content.</w:t>
      </w:r>
    </w:p>
    <w:p>
      <w:pPr>
        <w:pStyle w:val="TableCaption"/>
      </w:pPr>
      <w:r>
        <w:rPr>
          <w:b/>
          <w:bCs/>
        </w:rPr>
        <w:t xml:space="preserve">Table </w:t>
      </w:r>
      <w:r>
        <w:rPr>
          <w:b/>
          <w:bCs/>
        </w:rPr>
        <w:t xml:space="preserve">4</w:t>
      </w:r>
      <w:r>
        <w:rPr>
          <w:b/>
          <w:bCs/>
        </w:rPr>
        <w:t xml:space="preserve">.</w:t>
      </w:r>
      <w:r>
        <w:t xml:space="preserve"> Compromise summary: what each party or vantage point can determine, and the formal or simulated basis for each row.</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700"/>
        <w:gridCol w:w="2500"/>
        <w:gridCol w:w="3000"/>
        <w:gridCol w:w="2160"/>
      </w:tblGrid>
      <w:tr>
        <w:trPr>
          <w:cantSplit/>
          <w:tblHeader w:val="true"/>
        </w:trPr>
        <w:tc>
          <w:tcPr>
            <w:tcW w:w="1700" w:type="dxa"/>
            <w:tcBorders>
              <w:top w:val="single" w:sz="12" w:space="0" w:color="000000"/>
              <w:bottom w:val="single" w:sz="6" w:space="0" w:color="000000"/>
            </w:tcBorders>
            <w:vAlign w:val="bottom"/>
          </w:tcPr>
          <w:p>
            <w:pPr>
              <w:pStyle w:val="TableText"/>
            </w:pPr>
            <w:r>
              <w:rPr>
                <w:b/>
              </w:rPr>
              <w:t xml:space="preserve">Party / vantage point</w:t>
            </w:r>
          </w:p>
        </w:tc>
        <w:tc>
          <w:tcPr>
            <w:tcW w:w="2500" w:type="dxa"/>
            <w:tcBorders>
              <w:top w:val="single" w:sz="12" w:space="0" w:color="000000"/>
              <w:bottom w:val="single" w:sz="6" w:space="0" w:color="000000"/>
            </w:tcBorders>
            <w:vAlign w:val="bottom"/>
          </w:tcPr>
          <w:p>
            <w:pPr>
              <w:pStyle w:val="TableText"/>
            </w:pPr>
            <w:r>
              <w:rPr>
                <w:b/>
              </w:rPr>
              <w:t xml:space="preserve">Reveals</w:t>
            </w:r>
          </w:p>
        </w:tc>
        <w:tc>
          <w:tcPr>
            <w:tcW w:w="3000" w:type="dxa"/>
            <w:tcBorders>
              <w:top w:val="single" w:sz="12" w:space="0" w:color="000000"/>
              <w:bottom w:val="single" w:sz="6" w:space="0" w:color="000000"/>
            </w:tcBorders>
            <w:vAlign w:val="bottom"/>
          </w:tcPr>
          <w:p>
            <w:pPr>
              <w:pStyle w:val="TableText"/>
            </w:pPr>
            <w:r>
              <w:rPr>
                <w:b/>
              </w:rPr>
              <w:t xml:space="preserve">Cannot determine</w:t>
            </w:r>
          </w:p>
        </w:tc>
        <w:tc>
          <w:tcPr>
            <w:tcW w:w="2160" w:type="dxa"/>
            <w:tcBorders>
              <w:top w:val="single" w:sz="12" w:space="0" w:color="000000"/>
              <w:bottom w:val="single" w:sz="6" w:space="0" w:color="000000"/>
            </w:tcBorders>
            <w:vAlign w:val="bottom"/>
          </w:tcPr>
          <w:p>
            <w:pPr>
              <w:pStyle w:val="TableText"/>
            </w:pPr>
            <w:r>
              <w:rPr>
                <w:b/>
              </w:rPr>
              <w:t xml:space="preserve">Basis</w:t>
            </w:r>
          </w:p>
        </w:tc>
      </w:tr>
      <w:tr>
        <w:trPr>
          <w:cantSplit/>
        </w:trPr>
        <w:tc>
          <w:tcPr>
            <w:tcW w:w="1700" w:type="dxa"/>
            <w:tcBorders>
              <w:bottom w:val="single" w:sz="2" w:space="0" w:color="BFBFBF"/>
            </w:tcBorders>
            <w:vAlign w:val="top"/>
          </w:tcPr>
          <w:p>
            <w:pPr>
              <w:pStyle w:val="TableText"/>
            </w:pPr>
            <w:r>
              <w:t xml:space="preserve">Registry observer (public, no compromise)</w:t>
            </w:r>
          </w:p>
        </w:tc>
        <w:tc>
          <w:tcPr>
            <w:tcW w:w="2500" w:type="dxa"/>
            <w:tcBorders>
              <w:bottom w:val="single" w:sz="2" w:space="0" w:color="BFBFBF"/>
            </w:tcBorders>
            <w:vAlign w:val="top"/>
          </w:tcPr>
          <w:p>
            <w:pPr>
              <w:pStyle w:val="TableText"/>
            </w:pPr>
            <w:r>
              <w:t xml:space="preserve">Content hashes; verdicts; timestamps</w:t>
            </w:r>
          </w:p>
        </w:tc>
        <w:tc>
          <w:tcPr>
            <w:tcW w:w="3000" w:type="dxa"/>
            <w:tcBorders>
              <w:bottom w:val="single" w:sz="2" w:space="0" w:color="BFBFBF"/>
            </w:tcBorders>
            <w:vAlign w:val="top"/>
          </w:tcPr>
          <w:p>
            <w:pPr>
              <w:pStyle w:val="TableText"/>
            </w:pPr>
            <w:r>
              <w:t xml:space="preserve">Which device produced which content</w:t>
            </w:r>
          </w:p>
        </w:tc>
        <w:tc>
          <w:tcPr>
            <w:tcW w:w="2160" w:type="dxa"/>
            <w:tcBorders>
              <w:bottom w:val="single" w:sz="2" w:space="0" w:color="BFBFBF"/>
            </w:tcBorders>
            <w:vAlign w:val="top"/>
          </w:tcPr>
          <w:p>
            <w:pPr>
              <w:pStyle w:val="TableText"/>
            </w:pPr>
            <w:r>
              <w:t xml:space="preserve">Property B</w:t>
            </w:r>
          </w:p>
        </w:tc>
      </w:tr>
      <w:tr>
        <w:trPr>
          <w:cantSplit/>
        </w:trPr>
        <w:tc>
          <w:tcPr>
            <w:tcW w:w="1700" w:type="dxa"/>
            <w:tcBorders>
              <w:bottom w:val="single" w:sz="2" w:space="0" w:color="BFBFBF"/>
            </w:tcBorders>
            <w:vAlign w:val="top"/>
          </w:tcPr>
          <w:p>
            <w:pPr>
              <w:pStyle w:val="TableText"/>
            </w:pPr>
            <w:r>
              <w:t xml:space="preserve">Credential channel server compromised alone</w:t>
            </w:r>
          </w:p>
        </w:tc>
        <w:tc>
          <w:tcPr>
            <w:tcW w:w="2500" w:type="dxa"/>
            <w:tcBorders>
              <w:bottom w:val="single" w:sz="2" w:space="0" w:color="BFBFBF"/>
            </w:tcBorders>
            <w:vAlign w:val="top"/>
          </w:tcPr>
          <w:p>
            <w:pPr>
              <w:pStyle w:val="TableText"/>
            </w:pPr>
            <w:r>
              <w:t xml:space="preserve">FullPacketHash (in the clear); the verdict; encrypted</w:t>
            </w:r>
            <w:r>
              <w:t xml:space="preserve"> device token (still opaque, no V-token_sk)</w:t>
            </w:r>
          </w:p>
        </w:tc>
        <w:tc>
          <w:tcPr>
            <w:tcW w:w="3000" w:type="dxa"/>
            <w:tcBorders>
              <w:bottom w:val="single" w:sz="2" w:space="0" w:color="BFBFBF"/>
            </w:tcBorders>
            <w:vAlign w:val="top"/>
          </w:tcPr>
          <w:p>
            <w:pPr>
              <w:pStyle w:val="TableText"/>
            </w:pPr>
            <w:r>
              <w:t xml:space="preserve">device_id, since the token stays encrypted regardless</w:t>
            </w:r>
          </w:p>
        </w:tc>
        <w:tc>
          <w:tcPr>
            <w:tcW w:w="2160" w:type="dxa"/>
            <w:tcBorders>
              <w:bottom w:val="single" w:sz="2" w:space="0" w:color="BFBFBF"/>
            </w:tcBorders>
            <w:vAlign w:val="top"/>
          </w:tcPr>
          <w:p>
            <w:pPr>
              <w:pStyle w:val="TableText"/>
            </w:pPr>
            <w:r>
              <w:t xml:space="preserve">Property D; Appendix D</w:t>
            </w:r>
          </w:p>
        </w:tc>
      </w:tr>
      <w:tr>
        <w:trPr>
          <w:cantSplit/>
        </w:trPr>
        <w:tc>
          <w:tcPr>
            <w:tcW w:w="1700" w:type="dxa"/>
            <w:tcBorders>
              <w:bottom w:val="single" w:sz="2" w:space="0" w:color="BFBFBF"/>
            </w:tcBorders>
            <w:vAlign w:val="top"/>
          </w:tcPr>
          <w:p>
            <w:pPr>
              <w:pStyle w:val="TableText"/>
            </w:pPr>
            <w:r>
              <w:t xml:space="preserve">Content channel server (F or I) compromised alone</w:t>
            </w:r>
          </w:p>
        </w:tc>
        <w:tc>
          <w:tcPr>
            <w:tcW w:w="2500" w:type="dxa"/>
            <w:tcBorders>
              <w:bottom w:val="single" w:sz="2" w:space="0" w:color="BFBFBF"/>
            </w:tcBorders>
            <w:vAlign w:val="top"/>
          </w:tcPr>
          <w:p>
            <w:pPr>
              <w:pStyle w:val="TableText"/>
            </w:pPr>
            <w:r>
              <w:t xml:space="preserve">ContentHash and n for its own transactions; </w:t>
            </w:r>
            <w:r>
              <w:t xml:space="preserve">its own computed FullPacketHash candidate; the quorum’s verdict</w:t>
            </w:r>
          </w:p>
        </w:tc>
        <w:tc>
          <w:tcPr>
            <w:tcW w:w="3000" w:type="dxa"/>
            <w:tcBorders>
              <w:bottom w:val="single" w:sz="2" w:space="0" w:color="BFBFBF"/>
            </w:tcBorders>
            <w:vAlign w:val="top"/>
          </w:tcPr>
          <w:p>
            <w:pPr>
              <w:pStyle w:val="TableText"/>
            </w:pPr>
            <w:r>
              <w:t xml:space="preserve">device_id, since it never receives the credential channel at all</w:t>
            </w:r>
          </w:p>
        </w:tc>
        <w:tc>
          <w:tcPr>
            <w:tcW w:w="2160" w:type="dxa"/>
            <w:tcBorders>
              <w:bottom w:val="single" w:sz="2" w:space="0" w:color="BFBFBF"/>
            </w:tcBorders>
            <w:vAlign w:val="top"/>
          </w:tcPr>
          <w:p>
            <w:pPr>
              <w:pStyle w:val="TableText"/>
            </w:pPr>
            <w:r>
              <w:t xml:space="preserve">Property F; Appendix D</w:t>
            </w:r>
          </w:p>
        </w:tc>
      </w:tr>
      <w:tr>
        <w:trPr>
          <w:cantSplit/>
        </w:trPr>
        <w:tc>
          <w:tcPr>
            <w:tcW w:w="1700" w:type="dxa"/>
            <w:tcBorders>
              <w:bottom w:val="single" w:sz="2" w:space="0" w:color="BFBFBF"/>
            </w:tcBorders>
            <w:vAlign w:val="top"/>
          </w:tcPr>
          <w:p>
            <w:pPr>
              <w:pStyle w:val="TableText"/>
            </w:pPr>
            <w:r>
              <w:t xml:space="preserve">Gatekeeper compromised alone</w:t>
            </w:r>
          </w:p>
        </w:tc>
        <w:tc>
          <w:tcPr>
            <w:tcW w:w="2500" w:type="dxa"/>
            <w:tcBorders>
              <w:bottom w:val="single" w:sz="2" w:space="0" w:color="BFBFBF"/>
            </w:tcBorders>
            <w:vAlign w:val="top"/>
          </w:tcPr>
          <w:p>
            <w:pPr>
              <w:pStyle w:val="TableText"/>
            </w:pPr>
            <w:r>
              <w:t xml:space="preserve">FullPacketHash and the verdict (in the clear); the validator’s ring signature;</w:t>
            </w:r>
            <w:r>
              <w:t xml:space="preserve"> BlindShare_key; </w:t>
            </w:r>
            <w:r>
              <w:t xml:space="preserve">C’s ring signature over FullPacketHash</w:t>
            </w:r>
          </w:p>
        </w:tc>
        <w:tc>
          <w:tcPr>
            <w:tcW w:w="3000" w:type="dxa"/>
            <w:tcBorders>
              <w:bottom w:val="single" w:sz="2" w:space="0" w:color="BFBFBF"/>
            </w:tcBorders>
            <w:vAlign w:val="top"/>
          </w:tcPr>
          <w:p>
            <w:pPr>
              <w:pStyle w:val="TableText"/>
            </w:pPr>
            <w:r>
              <w:t xml:space="preserve">device_id, since the credential channel’s token never reaches a gatekeeper at all; which C-Ring member C actually was, </w:t>
            </w:r>
            <w:r>
              <w:t xml:space="preserve">since the ring signature hides this from every verifier; </w:t>
            </w:r>
            <w:r>
              <w:t xml:space="preserve">which validator signed, and so which manufacturer’s devices the submission came from, since the validator’s signature is a ring signature over V-Ring</w:t>
            </w:r>
          </w:p>
        </w:tc>
        <w:tc>
          <w:tcPr>
            <w:tcW w:w="2160" w:type="dxa"/>
            <w:tcBorders>
              <w:bottom w:val="single" w:sz="2" w:space="0" w:color="BFBFBF"/>
            </w:tcBorders>
            <w:vAlign w:val="top"/>
          </w:tcPr>
          <w:p>
            <w:pPr>
              <w:pStyle w:val="TableText"/>
            </w:pPr>
            <w:r>
              <w:t xml:space="preserve">Property J; Appendix D</w:t>
            </w:r>
          </w:p>
        </w:tc>
      </w:tr>
      <w:tr>
        <w:trPr>
          <w:cantSplit/>
        </w:trPr>
        <w:tc>
          <w:tcPr>
            <w:tcW w:w="1700" w:type="dxa"/>
            <w:tcBorders>
              <w:bottom w:val="single" w:sz="2" w:space="0" w:color="BFBFBF"/>
            </w:tcBorders>
            <w:vAlign w:val="top"/>
          </w:tcPr>
          <w:p>
            <w:pPr>
              <w:pStyle w:val="TableText"/>
            </w:pPr>
            <w:r>
              <w:t xml:space="preserve">Match board</w:t>
            </w:r>
          </w:p>
        </w:tc>
        <w:tc>
          <w:tcPr>
            <w:tcW w:w="2500" w:type="dxa"/>
            <w:tcBorders>
              <w:bottom w:val="single" w:sz="2" w:space="0" w:color="BFBFBF"/>
            </w:tcBorders>
            <w:vAlign w:val="top"/>
          </w:tcPr>
          <w:p>
            <w:pPr>
              <w:pStyle w:val="TableText"/>
            </w:pPr>
            <w:r>
              <w:t xml:space="preserve">Its own paired gatekeeper’s countersignature chained over C’s signature; </w:t>
            </w:r>
            <w:r>
              <w:t xml:space="preserve">FullPacketHash and the verdict, posted alongside both in the clear</w:t>
            </w:r>
          </w:p>
        </w:tc>
        <w:tc>
          <w:tcPr>
            <w:tcW w:w="3000" w:type="dxa"/>
            <w:tcBorders>
              <w:bottom w:val="single" w:sz="2" w:space="0" w:color="BFBFBF"/>
            </w:tcBorders>
            <w:vAlign w:val="top"/>
          </w:tcPr>
          <w:p>
            <w:pPr>
              <w:pStyle w:val="TableText"/>
            </w:pPr>
            <w:r>
              <w:t xml:space="preserve">device_id and which pool member C actually was, since it holds nothing its own gatekeeper did not already hold</w:t>
            </w:r>
          </w:p>
        </w:tc>
        <w:tc>
          <w:tcPr>
            <w:tcW w:w="2160" w:type="dxa"/>
            <w:tcBorders>
              <w:bottom w:val="single" w:sz="2" w:space="0" w:color="BFBFBF"/>
            </w:tcBorders>
            <w:vAlign w:val="top"/>
          </w:tcPr>
          <w:p>
            <w:pPr>
              <w:pStyle w:val="TableText"/>
            </w:pPr>
            <w:r>
              <w:t xml:space="preserve">Follows from the Gatekeeper compromised alone row</w:t>
            </w:r>
          </w:p>
        </w:tc>
      </w:tr>
      <w:tr>
        <w:trPr>
          <w:cantSplit/>
        </w:trPr>
        <w:tc>
          <w:tcPr>
            <w:tcW w:w="1700" w:type="dxa"/>
            <w:tcBorders>
              <w:bottom w:val="single" w:sz="2" w:space="0" w:color="BFBFBF"/>
            </w:tcBorders>
            <w:vAlign w:val="top"/>
          </w:tcPr>
          <w:p>
            <w:pPr>
              <w:pStyle w:val="TableText"/>
            </w:pPr>
            <w:r>
              <w:t xml:space="preserve">Zero-compromise global network observer</w:t>
            </w:r>
          </w:p>
        </w:tc>
        <w:tc>
          <w:tcPr>
            <w:tcW w:w="2500" w:type="dxa"/>
            <w:tcBorders>
              <w:bottom w:val="single" w:sz="2" w:space="0" w:color="BFBFBF"/>
            </w:tcBorders>
            <w:vAlign w:val="top"/>
          </w:tcPr>
          <w:p>
            <w:pPr>
              <w:pStyle w:val="TableText"/>
            </w:pPr>
            <w:r>
              <w:t xml:space="preserve">Nothing readable: every packet is encrypted under its recipient’s Channel Key or Server Transit Key</w:t>
            </w:r>
          </w:p>
        </w:tc>
        <w:tc>
          <w:tcPr>
            <w:tcW w:w="3000" w:type="dxa"/>
            <w:tcBorders>
              <w:bottom w:val="single" w:sz="2" w:space="0" w:color="BFBFBF"/>
            </w:tcBorders>
            <w:vAlign w:val="top"/>
          </w:tcPr>
          <w:p>
            <w:pPr>
              <w:pStyle w:val="TableText"/>
            </w:pPr>
            <w:r>
              <w:t xml:space="preserve">Anything from channel content; no channel is ever transmitted unencrypted to a party without the matching key. Timing and traffic-volume analysis are outside what this row’s formal basis covers (Appendix A.5).</w:t>
            </w:r>
          </w:p>
        </w:tc>
        <w:tc>
          <w:tcPr>
            <w:tcW w:w="2160" w:type="dxa"/>
            <w:tcBorders>
              <w:bottom w:val="single" w:sz="2" w:space="0" w:color="BFBFBF"/>
            </w:tcBorders>
            <w:vAlign w:val="top"/>
          </w:tcPr>
          <w:p>
            <w:pPr>
              <w:pStyle w:val="TableText"/>
            </w:pPr>
            <w:r>
              <w:t xml:space="preserve">Property B; Section 3.2; timing and volume in Appendix D</w:t>
            </w:r>
            <w:r>
              <w:t xml:space="preserve"/>
            </w:r>
          </w:p>
        </w:tc>
      </w:tr>
      <w:tr>
        <w:trPr>
          <w:cantSplit/>
        </w:trPr>
        <w:tc>
          <w:tcPr>
            <w:tcW w:w="1700" w:type="dxa"/>
            <w:tcBorders>
              <w:bottom w:val="single" w:sz="2" w:space="0" w:color="BFBFBF"/>
            </w:tcBorders>
            <w:vAlign w:val="top"/>
          </w:tcPr>
          <w:p>
            <w:pPr>
              <w:pStyle w:val="TableText"/>
            </w:pPr>
            <w:r>
              <w:t xml:space="preserve">First relay compromised alone</w:t>
            </w:r>
          </w:p>
        </w:tc>
        <w:tc>
          <w:tcPr>
            <w:tcW w:w="2500" w:type="dxa"/>
            <w:tcBorders>
              <w:bottom w:val="single" w:sz="2" w:space="0" w:color="BFBFBF"/>
            </w:tcBorders>
            <w:vAlign w:val="top"/>
          </w:tcPr>
          <w:p>
            <w:pPr>
              <w:pStyle w:val="TableText"/>
            </w:pPr>
            <w:r>
              <w:t xml:space="preserve">Source IP address; packet sizes and timing; each packet’s routing code and, from the device routing table, its jurisdiction tag and operator pseudonym</w:t>
            </w:r>
          </w:p>
        </w:tc>
        <w:tc>
          <w:tcPr>
            <w:tcW w:w="3000" w:type="dxa"/>
            <w:tcBorders>
              <w:bottom w:val="single" w:sz="2" w:space="0" w:color="BFBFBF"/>
            </w:tcBorders>
            <w:vAlign w:val="top"/>
          </w:tcPr>
          <w:p>
            <w:pPr>
              <w:pStyle w:val="TableText"/>
            </w:pPr>
            <w:r>
              <w:t xml:space="preserve">The payload; whether a packet is credential or content; the destination’s identity, since the key is blinded for that line</w:t>
            </w:r>
          </w:p>
        </w:tc>
        <w:tc>
          <w:tcPr>
            <w:tcW w:w="2160" w:type="dxa"/>
            <w:tcBorders>
              <w:bottom w:val="single" w:sz="2" w:space="0" w:color="BFBFBF"/>
            </w:tcBorders>
            <w:vAlign w:val="top"/>
          </w:tcPr>
          <w:p>
            <w:pPr>
              <w:pStyle w:val="TableText"/>
            </w:pPr>
            <w:r>
              <w:t xml:space="preserve">Property K; Appendix D; R6 (Section 4.2)</w:t>
            </w:r>
            <w:r>
              <w:t xml:space="preserve"/>
            </w:r>
          </w:p>
        </w:tc>
      </w:tr>
      <w:tr>
        <w:trPr>
          <w:cantSplit/>
        </w:trPr>
        <w:tc>
          <w:tcPr>
            <w:tcW w:w="1700" w:type="dxa"/>
            <w:tcBorders>
              <w:bottom w:val="single" w:sz="2" w:space="0" w:color="BFBFBF"/>
            </w:tcBorders>
            <w:vAlign w:val="top"/>
          </w:tcPr>
          <w:p>
            <w:pPr>
              <w:pStyle w:val="TableText"/>
            </w:pPr>
            <w:r>
              <w:t xml:space="preserve">Second relay compromised alone</w:t>
            </w:r>
          </w:p>
        </w:tc>
        <w:tc>
          <w:tcPr>
            <w:tcW w:w="2500" w:type="dxa"/>
            <w:tcBorders>
              <w:bottom w:val="single" w:sz="2" w:space="0" w:color="BFBFBF"/>
            </w:tcBorders>
            <w:vAlign w:val="top"/>
          </w:tcPr>
          <w:p>
            <w:pPr>
              <w:pStyle w:val="TableText"/>
            </w:pPr>
            <w:r>
              <w:t xml:space="preserve">The first relay it receives from; the destination it forwards to; sizes and timing</w:t>
            </w:r>
          </w:p>
        </w:tc>
        <w:tc>
          <w:tcPr>
            <w:tcW w:w="3000" w:type="dxa"/>
            <w:tcBorders>
              <w:bottom w:val="single" w:sz="2" w:space="0" w:color="BFBFBF"/>
            </w:tcBorders>
            <w:vAlign w:val="top"/>
          </w:tcPr>
          <w:p>
            <w:pPr>
              <w:pStyle w:val="TableText"/>
            </w:pPr>
            <w:r>
              <w:t xml:space="preserve">The device’s address, since the first relay terminates its connection; the payload</w:t>
            </w:r>
          </w:p>
        </w:tc>
        <w:tc>
          <w:tcPr>
            <w:tcW w:w="2160" w:type="dxa"/>
            <w:tcBorders>
              <w:bottom w:val="single" w:sz="2" w:space="0" w:color="BFBFBF"/>
            </w:tcBorders>
            <w:vAlign w:val="top"/>
          </w:tcPr>
          <w:p>
            <w:pPr>
              <w:pStyle w:val="TableText"/>
            </w:pPr>
            <w:r>
              <w:t xml:space="preserve">R6 (Section 4.2) only</w:t>
            </w:r>
            <w:r>
              <w:t xml:space="preserve"/>
            </w:r>
          </w:p>
        </w:tc>
      </w:tr>
      <w:tr>
        <w:trPr>
          <w:cantSplit/>
        </w:trPr>
        <w:tc>
          <w:tcPr>
            <w:tcW w:w="1700" w:type="dxa"/>
            <w:tcBorders>
              <w:bottom w:val="single" w:sz="2" w:space="0" w:color="BFBFBF"/>
            </w:tcBorders>
            <w:vAlign w:val="top"/>
          </w:tcPr>
          <w:p>
            <w:pPr>
              <w:pStyle w:val="TableText"/>
            </w:pPr>
            <w:r>
              <w:t xml:space="preserve">Credential validator (compromised)</w:t>
            </w:r>
          </w:p>
        </w:tc>
        <w:tc>
          <w:tcPr>
            <w:tcW w:w="2500" w:type="dxa"/>
            <w:tcBorders>
              <w:bottom w:val="single" w:sz="2" w:space="0" w:color="BFBFBF"/>
            </w:tcBorders>
            <w:vAlign w:val="top"/>
          </w:tcPr>
          <w:p>
            <w:pPr>
              <w:pStyle w:val="TableText"/>
            </w:pPr>
            <w:r>
              <w:t xml:space="preserve">Device identity (via decryption); the claim, verdict, capture date (the token’s UTC date) and offline bit; an opaque blob (Enc_FullPacketHash, still wrapped under BlindShare_key); from its transaction log, each device’s transaction dates for up to three years ([3], Section 4.4)</w:t>
            </w:r>
          </w:p>
        </w:tc>
        <w:tc>
          <w:tcPr>
            <w:tcW w:w="3000" w:type="dxa"/>
            <w:tcBorders>
              <w:bottom w:val="single" w:sz="2" w:space="0" w:color="BFBFBF"/>
            </w:tcBorders>
            <w:vAlign w:val="top"/>
          </w:tcPr>
          <w:p>
            <w:pPr>
              <w:pStyle w:val="TableText"/>
            </w:pPr>
            <w:r>
              <w:t xml:space="preserve">Which content was authenticated, confirmed in Appendix A.3 for submissions that share a verdict</w:t>
            </w:r>
          </w:p>
        </w:tc>
        <w:tc>
          <w:tcPr>
            <w:tcW w:w="2160" w:type="dxa"/>
            <w:tcBorders>
              <w:bottom w:val="single" w:sz="2" w:space="0" w:color="BFBFBF"/>
            </w:tcBorders>
            <w:vAlign w:val="top"/>
          </w:tcPr>
          <w:p>
            <w:pPr>
              <w:pStyle w:val="TableText"/>
            </w:pPr>
            <w:r>
              <w:t xml:space="preserve">Property E; Appendix D</w:t>
            </w:r>
          </w:p>
        </w:tc>
      </w:tr>
      <w:tr>
        <w:trPr>
          <w:cantSplit/>
        </w:trPr>
        <w:tc>
          <w:tcPr>
            <w:tcW w:w="1700" w:type="dxa"/>
            <w:tcBorders>
              <w:bottom w:val="single" w:sz="2" w:space="0" w:color="BFBFBF"/>
            </w:tcBorders>
            <w:vAlign w:val="top"/>
          </w:tcPr>
          <w:p>
            <w:pPr>
              <w:pStyle w:val="TableText"/>
            </w:pPr>
            <w:r>
              <w:t xml:space="preserve">Validator and the credential channel server, both compromised</w:t>
            </w:r>
          </w:p>
        </w:tc>
        <w:tc>
          <w:tcPr>
            <w:tcW w:w="2500" w:type="dxa"/>
            <w:tcBorders>
              <w:bottom w:val="single" w:sz="2" w:space="0" w:color="BFBFBF"/>
            </w:tcBorders>
            <w:vAlign w:val="top"/>
          </w:tcPr>
          <w:p>
            <w:pPr>
              <w:pStyle w:val="TableText"/>
            </w:pPr>
            <w:r>
              <w:t xml:space="preserve">Device identity and FullPacketHash together, linkable</w:t>
            </w:r>
          </w:p>
        </w:tc>
        <w:tc>
          <w:tcPr>
            <w:tcW w:w="3000" w:type="dxa"/>
            <w:tcBorders>
              <w:bottom w:val="single" w:sz="2" w:space="0" w:color="BFBFBF"/>
            </w:tcBorders>
            <w:vAlign w:val="top"/>
          </w:tcPr>
          <w:p>
            <w:pPr>
              <w:pStyle w:val="TableText"/>
            </w:pPr>
            <w:r>
              <w:t xml:space="preserve">Nothing</w:t>
            </w:r>
          </w:p>
        </w:tc>
        <w:tc>
          <w:tcPr>
            <w:tcW w:w="2160" w:type="dxa"/>
            <w:tcBorders>
              <w:bottom w:val="single" w:sz="2" w:space="0" w:color="BFBFBF"/>
            </w:tcBorders>
            <w:vAlign w:val="top"/>
          </w:tcPr>
          <w:p>
            <w:pPr>
              <w:pStyle w:val="TableText"/>
            </w:pPr>
            <w:r>
              <w:t xml:space="preserve">Follows directly from the Credential channel server compromised alone and Credential validator (compromised) rows above</w:t>
            </w:r>
          </w:p>
        </w:tc>
      </w:tr>
      <w:tr>
        <w:trPr>
          <w:cantSplit/>
        </w:trPr>
        <w:tc>
          <w:tcPr>
            <w:tcW w:w="1700" w:type="dxa"/>
            <w:tcBorders>
              <w:bottom w:val="single" w:sz="12" w:space="0" w:color="000000"/>
            </w:tcBorders>
            <w:vAlign w:val="top"/>
          </w:tcPr>
          <w:p>
            <w:pPr>
              <w:pStyle w:val="TableText"/>
            </w:pPr>
            <w:r>
              <w:t xml:space="preserve">Validator and any one gatekeeper, both compromised</w:t>
            </w:r>
          </w:p>
        </w:tc>
        <w:tc>
          <w:tcPr>
            <w:tcW w:w="2500" w:type="dxa"/>
            <w:tcBorders>
              <w:bottom w:val="single" w:sz="12" w:space="0" w:color="000000"/>
            </w:tcBorders>
            <w:vAlign w:val="top"/>
          </w:tcPr>
          <w:p>
            <w:pPr>
              <w:pStyle w:val="TableText"/>
            </w:pPr>
            <w:r>
              <w:t xml:space="preserve">Device identity and FullPacketHash together, linkable</w:t>
            </w:r>
          </w:p>
        </w:tc>
        <w:tc>
          <w:tcPr>
            <w:tcW w:w="3000" w:type="dxa"/>
            <w:tcBorders>
              <w:bottom w:val="single" w:sz="12" w:space="0" w:color="000000"/>
            </w:tcBorders>
            <w:vAlign w:val="top"/>
          </w:tcPr>
          <w:p>
            <w:pPr>
              <w:pStyle w:val="TableText"/>
            </w:pPr>
            <w:r>
              <w:t xml:space="preserve">Nothing</w:t>
            </w:r>
          </w:p>
        </w:tc>
        <w:tc>
          <w:tcPr>
            <w:tcW w:w="2160" w:type="dxa"/>
            <w:tcBorders>
              <w:bottom w:val="single" w:sz="12" w:space="0" w:color="000000"/>
            </w:tcBorders>
            <w:vAlign w:val="top"/>
          </w:tcPr>
          <w:p>
            <w:pPr>
              <w:pStyle w:val="TableText"/>
            </w:pPr>
            <w:r>
              <w:t xml:space="preserve">Follows from the Gatekeeper compromised alone and Credential validator (compromised) rows above</w:t>
            </w:r>
          </w:p>
        </w:tc>
      </w:tr>
    </w:tbl>
    <w:p>
      <w:pPr>
        <w:pStyle w:val="Heading1"/>
      </w:pPr>
      <w:r>
        <w:rPr>
          <w:b/>
          <w:bCs/>
        </w:rPr>
        <w:t xml:space="preserve">5 REFERENCE INSTANTIATION: THE BIRTHMARK STANDARD</w:t>
      </w:r>
    </w:p>
    <w:p>
      <w:pPr>
        <w:pStyle w:val="BodyText"/>
      </w:pPr>
      <w:r>
        <w:t xml:space="preserve">The Birthmark Standard instantiates the two-channel provenance architecture for photographic media in journalism contexts. </w:t>
      </w:r>
      <w:r>
        <w:t xml:space="preserve">In the reference deployment, </w:t>
      </w:r>
      <w:r>
        <w:t xml:space="preserve">the device holds a device routing table whose lines each name a first relay, a routing code and a destination, and label the destination with a jurisdiction tag. A line has no role: the device chooses three lines and decides which one serves the credential path.</w:t>
      </w:r>
      <w:r>
        <w:t xml:space="preserve"> The device selects its first relays outside the jurisdiction it operates in, because they are the only servers that see its network address, </w:t>
      </w:r>
      <w:r>
        <w:t xml:space="preserve">and excludes, for the credential path, any line whose destination label matches its validator’s jurisdiction tag.</w:t>
      </w:r>
      <w:r>
        <w:t xml:space="preserve"> For F and I the device skews its choice toward lines with that same tag, by an amount the table fixes, so that the tags a first relay sees from a device follow the share of lines in the table and the exclusion leaves no gap.</w:t>
      </w:r>
      <w:r>
        <w:t xml:space="preserve"> The table maps each validator to a jurisdiction tag, and tags are merged where needed so that each covers more than one validator once more than one is registered.</w:t>
      </w:r>
    </w:p>
    <w:p>
      <w:pPr>
        <w:pStyle w:val="BodyText"/>
      </w:pPr>
      <w:r>
        <w:t xml:space="preserve">Each line also carries a Channel Key for its destination, a key that is blinded for that line, so that a holder of the table cannot tie it to the destination server,</w:t>
      </w:r>
      <w:r>
        <w:t xml:space="preserve"> and a pseudonym for the server’s operator that changes each generation, with which the device confirms that its credential channel server and its two content channel servers are run by different operators. The later relays are assigned by the relay routing tables the relay servers hold, so the device does not learn them.</w:t>
      </w:r>
      <w:r>
        <w:t xml:space="preserve"> </w:t>
      </w:r>
      <w:r>
        <w:t xml:space="preserve">Neither the assignment mechanism nor the jurisdiction filters are formally verified in this paper. The device routing table and the assignment of routes are specified in [3].</w:t>
      </w:r>
      <w:r>
        <w:t xml:space="preserve"> Appendix A.5 gives the argument for the blinded key and its limits.</w:t>
      </w:r>
      <w:r>
        <w:t xml:space="preserve"/>
      </w:r>
    </w:p>
    <w:p>
      <w:pPr>
        <w:pStyle w:val="BodyText"/>
      </w:pPr>
      <w:r>
        <w:t xml:space="preserve">Appendix C describes the proposed governance of the reference deployment.</w:t>
      </w:r>
    </w:p>
    <w:p>
      <w:pPr>
        <w:pStyle w:val="Heading1"/>
      </w:pPr>
      <w:r>
        <w:rPr>
          <w:b/>
          <w:bCs/>
        </w:rPr>
        <w:t xml:space="preserve">6 DISCUSSION</w:t>
      </w:r>
    </w:p>
    <w:p>
      <w:pPr>
        <w:pStyle w:val="Heading2"/>
      </w:pPr>
      <w:r>
        <w:rPr>
          <w:b/>
          <w:bCs/>
        </w:rPr>
        <w:t xml:space="preserve">6.1 Relationship to Cryptographic Blinding Approaches</w:t>
      </w:r>
    </w:p>
    <w:p>
      <w:pPr>
        <w:pStyle w:val="BodyText"/>
      </w:pPr>
      <w:r>
        <w:t xml:space="preserve">The job is to authenticate a capture device while ensuring that no component can assemble the link between device and content, on hardware inside a camera. Zero-knowledge proofs answer a different question from the one SNA asks. ZK addresses whether a device can prove membership without revealing which member it is; SNA addresses whether any component can assemble the link between device and content. A ZK-based system does not automatically satisfy SNA, and this architecture satisfies SNA without ZK.</w:t>
      </w:r>
      <w:r>
        <w:t xml:space="preserve"> ZK-proof-based device authentication provides membership-proof guarantees without any credential validator at all, avoiding the coordinated-compromise requirement this architecture still carries</w:t>
      </w:r>
      <w:r>
        <w:t xml:space="preserve">. ZK systems carry computational hardness assumptions and proof-generation complexity on constrained hardware in exchange, and some carry trusted-setup requirements. </w:t>
      </w:r>
      <w:r>
        <w:t xml:space="preserve">This architecture resists validator compromise alone to the same degree (Appendix A.3);</w:t>
      </w:r>
      <w:r>
        <w:t xml:space="preserve"> correlation still requires coordinated compromise of the validator together with C, or together with any one gatekeeper (Section 4.6), a structural cost rather than a cryptographic one.</w:t>
      </w:r>
      <w:r>
        <w:t xml:space="preserve"> This architecture additionally provides a semantic minimization property ZK systems do not automatically provide: the system holds no media content, so no party can perform content-based attribution regardless of protocol-layer guarantees.</w:t>
      </w:r>
    </w:p>
    <w:p>
      <w:pPr>
        <w:pStyle w:val="BodyText"/>
      </w:pPr>
      <w:r>
        <w:t xml:space="preserve">Cost is a second reason. On constrained capture hardware, ZK proof generation, in which multi-scalar multiplication (MSM) is a large share of the work, takes under a minute for a circuit of about 5,000 constraints on a Raspberry Pi Zero W in a 2021 measurement [4], introducing capture-path latency and thermal load incompatible with continuous-capture operation. Device-side ECIES and symmetric operations in this architecture require only lightweight, standard cryptographic primitives, ECIES encryption (two elliptic curve scalar multiplications per operation, seven operations per capture, approximately 2–10 ms in total on ARM Cortex-A class processors [17]; Appendix B) and AES-256-GCM for the token and the credential packet, several orders of magnitude faster than ZK’s proof-generation overhead. Hashing the media content itself is this architecture’s larger cost, 430–600 ms for a representative RAW file on the same conservative embedded baseline (Appendix B). A zero-knowledge design that binds its proof to the media hash must also prove that hash inside the circuit. For the two provers compared in Table A.3, that costs 19 to 26 times and 340 to 510 times this architecture’s worst case. The lower figure is for a prover without zero-knowledge on a desktop-class core no camera has.</w:t>
      </w:r>
    </w:p>
    <w:p>
      <w:pPr>
        <w:pStyle w:val="Heading2"/>
      </w:pPr>
      <w:r>
        <w:rPr>
          <w:b/>
          <w:bCs/>
        </w:rPr>
        <w:t xml:space="preserve">6.2 Bounded Disclosure Under Compromise</w:t>
      </w:r>
    </w:p>
    <w:p>
      <w:pPr>
        <w:pStyle w:val="BodyText"/>
      </w:pPr>
      <w:r>
        <w:t xml:space="preserve">Compulsion is deterred as well as contained. A legal order that costs the compelling authority the compromised operator’s participation, without granting durable or undetected access, offers little return, which bears on whether compulsion is attempted at all. </w:t>
      </w:r>
      <w:r>
        <w:t xml:space="preserve">Where it is attempted, a compelled single infrastructure component yields</w:t>
      </w:r>
      <w:r>
        <w:t xml:space="preserve"> only the bounded disclosure characterized in </w:t>
      </w:r>
      <w:r>
        <w:t xml:space="preserve">Table </w:t>
      </w:r>
      <w:r>
        <w:t xml:space="preserve">4</w:t>
      </w:r>
      <w:r>
        <w:t xml:space="preserve">.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Either outcome is publicly observable through the audit record, which converts geopolitical legal pressure from a silent compromise vector into a visible governance event.</w:t>
      </w:r>
      <w:r>
        <w:t xml:space="preserve"> The 67% supermajority required for finalization means a compelled minority cannot suppress records while the removal process completes.</w:t>
      </w:r>
    </w:p>
    <w:p>
      <w:pPr>
        <w:pStyle w:val="BodyText"/>
      </w:pPr>
      <w:r>
        <w:t xml:space="preserve">The audited constraint preservation model covers this: the consortium governance layer provides regular public auditability of constraint satisfaction, so any degradation of structural independence </w:t>
      </w:r>
      <w:r>
        <w:t xml:space="preserve">may show in the public audit record. This is a detection opportunity, and the paper does not establish that detection would precede exploitation.</w:t>
      </w:r>
      <w:r>
        <w:t xml:space="preserve"/>
      </w:r>
      <w:r>
        <w:t xml:space="preserve"> An adversary</w:t>
      </w:r>
      <w:r>
        <w:t xml:space="preserve"> with sufficient control over the governance process could suppress the audit signal. </w:t>
      </w:r>
      <w:r>
        <w:t xml:space="preserve">Timing analysis, traffic analysis, validator behavior leakage, and operational metadata correlation remain partially possible regardless (Section 6.3; Appendix D).</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with related entities counted as one (Appendix C).</w:t>
      </w:r>
      <w:r>
        <w:t xml:space="preserve"/>
      </w:r>
      <w:r>
        <w:t xml:space="preserve"/>
      </w:r>
      <w:r>
        <w:t xml:space="preserve"> Operational hardening can extend further: Registry Nodes and validators can limit recorded event timestamps in operational logs to coarse windows</w:t>
      </w:r>
      <w:r>
        <w:t xml:space="preserv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w:t>
      </w:r>
    </w:p>
    <w:p>
      <w:pPr>
        <w:pStyle w:val="BodyText"/>
      </w:pPr>
      <w:r>
        <w:t xml:space="preserve">The FullPacketHash-discard requirement in Section 3.2 can also be checked directly: a submitter can supply the ContentHash and n from one of their own past submissions (the only party who ever holds n), </w:t>
      </w:r>
      <w:r>
        <w:t xml:space="preserve">letting the consortium recompute FullPacketHash and search the logs of every party that handled it for any residual copy of FullPacketHash, BlindShare_key, the signed Enc_FullPacketHash blob, or C’s ring signature; the credential validator is excluded, since it never recovers FullPacketHash.</w:t>
      </w:r>
      <w:r>
        <w:t xml:space="preserve"> The same submitter-initiated technique extends to the routing code each first relay reads on the way in (Section 3.2): a submitter who knows the routing code from their own past submission can ask the consortium to search that server’s logs for any residual copy. Any residual copy found is a governance violation, handled through the same removal process as other constraint failures</w:t>
      </w:r>
      <w:r>
        <w:t xml:space="preserve">. The audit is necessarily submitter-initiated, since only the original n makes a specific FullPacketHash identifiable. It is a detective control that confirms the discard requirement after the fact.</w:t>
      </w:r>
    </w:p>
    <w:p>
      <w:pPr>
        <w:pStyle w:val="BodyText"/>
      </w:pPr>
      <w:r>
        <w:t xml:space="preserve">Credential validators (camera manufacturers) operate outside consortium governance by design (Appendix C), which preserves their independence from editorial governance at the cost of no formal manufacturer voice in protocol decisions.</w:t>
      </w:r>
    </w:p>
    <w:p>
      <w:pPr>
        <w:pStyle w:val="Heading2"/>
      </w:pPr>
      <w:r>
        <w:rPr>
          <w:b/>
          <w:bCs/>
        </w:rPr>
        <w:t xml:space="preserve">6.3 Limitations</w:t>
      </w:r>
    </w:p>
    <w:p>
      <w:pPr>
        <w:pStyle w:val="BodyText"/>
      </w:pPr>
      <w:r>
        <w:rPr>
          <w:b/>
          <w:bCs/>
        </w:rPr>
        <w:t xml:space="preserve">Scope: traffic-analysis resistance is simulated, not formally verified.</w:t>
      </w:r>
      <w:r>
        <w:t xml:space="preserve"> Appendix D attacks every registry record from a passive observer holding no keys, from six single-component vantages (the first relay on the credential path, the first relay on a content path, C, the validator, a gatekeeper and a content channel server), each holding its own keys and exact internal timing, and from the combined view of a node that holds several roles. Every node is compromised in turn. With 100 decoy transactions in flight, the observer names the device 4.8% of the time with one real transaction in flight and 2.0% with 150, which is 4.3 and 4.6 times a guess among the devices that could have produced the record. The content channel server leads it by 0.8 and 0.4 points, the validator by 0.5 and 0.3, and the other single components by 0.03 or less. The combined view leads by 0.5 and 0.3 points on the 15% of records it can select (Appendix D.3). Active attacks are not tested. This is a statistical measurement of a simulated implementation and carries less certainty than the ProVerif results in Appendix A. The results hold for 100 decoys, the only count tested, and each decoy leaves a permanent registry record. The validator cannot tell a decoy from a real submission.</w:t>
      </w:r>
    </w:p>
    <w:p>
      <w:pPr>
        <w:pStyle w:val="BodyText"/>
      </w:pPr>
      <w:r>
        <w:rPr>
          <w:b/>
          <w:bCs/>
        </w:rPr>
        <w:t xml:space="preserve">Scope: hardware provenance only.</w:t>
      </w:r>
      <w:r>
        <w:t xml:space="preserve"> </w:t>
      </w:r>
      <w:r>
        <w:t xml:space="preserve">Records confirm only that content originated from a registered device (Section 1.2). Staged content passes verification, as do photographs of screens, prints and projections.</w:t>
      </w:r>
    </w:p>
    <w:p>
      <w:pPr>
        <w:pStyle w:val="BodyText"/>
      </w:pPr>
      <w:r>
        <w:rPr>
          <w:b/>
          <w:bCs/>
        </w:rPr>
        <w:t xml:space="preserve">Scope: exact rather than perceptual hashing.</w:t>
      </w:r>
      <w:r>
        <w:t xml:space="preserve"> R3 relies on SHA-256, an exact hash: any bit-level change outside a CMPS, including transformations a viewer would consider harmless (recompression, resizing, format conversion), breaks the match. A perceptual hash, tolerant of such transformations by design, </w:t>
      </w:r>
      <w:r>
        <w:t xml:space="preserve">would extend coverage to uncertified reprocessing without requiring platform participation (see Adoption dependency, below).</w:t>
      </w:r>
      <w:r>
        <w:t xml:space="preserve"> </w:t>
      </w:r>
      <w:r>
        <w:t xml:space="preserve">It would also introduce a different attack surface: perceptual hashes treat similar images as the same, which is the property an adversary substituting a visually close image would exploit, trading a false-negative problem for a false-positive one.</w:t>
      </w:r>
      <w:r>
        <w:t xml:space="preserve"> This architecture accepts the exact-match tradeoff. A perceptual layer could be added on top of it without changing the properties proven in Appendix A.</w:t>
      </w:r>
    </w:p>
    <w:p>
      <w:pPr>
        <w:pStyle w:val="BodyText"/>
      </w:pPr>
      <w:r>
        <w:rPr>
          <w:b/>
          <w:bCs/>
        </w:rPr>
        <w:t xml:space="preserve">Scope: anonymity set is per-manufacturer, not ecosystem-wide.</w:t>
      </w:r>
      <w:r>
        <w:t xml:space="preserve"> </w:t>
      </w:r>
      <w:r>
        <w:t xml:space="preserve">C learns which Token Key a submission uses, since key_ref travels to C in the clear as part of the credential packet. Against C, this narrows the practical anonymity set for that submission to the devices that share that Token Key, which can be one manufacturer’s devices or a part of them. The gatekeepers and match boards do not learn it: they check the validator’s signature against V-Ring, which shows only that some registered validator signed.</w:t>
      </w:r>
      <w:r>
        <w:t xml:space="preserve"> </w:t>
      </w:r>
      <w:r>
        <w:t xml:space="preserve">Table </w:t>
      </w:r>
      <w:r>
        <w:t xml:space="preserve">4</w:t>
      </w:r>
      <w:r>
        <w:t xml:space="preserve">’s</w:t>
      </w:r>
      <w:r>
        <w:t xml:space="preserve"> non-correlation guarantees hold within that narrowed set: a manufacturer with few registered devices offers a correspondingly small anonymity set, regardless of how many devices other manufacturers have registered.</w:t>
      </w:r>
      <w:r>
        <w:t xml:space="preserve"> V-Ring’s size is the number of registered validators, so the hiding it gives the gatekeepers grows only as validators register. With one registered validator it hides nothing.</w:t>
      </w:r>
      <w:r>
        <w:t xml:space="preserve"/>
      </w:r>
    </w:p>
    <w:p>
      <w:pPr>
        <w:pStyle w:val="BodyText"/>
      </w:pPr>
      <w:r>
        <w:t xml:space="preserve">A first relay that also holds the device routing table learns the jurisdiction tag of </w:t>
      </w:r>
      <w:r>
        <w:t xml:space="preserve">the destination behind each routing code, and which of its routing codes share an operator.</w:t>
      </w:r>
      <w:r>
        <w:t xml:space="preserve"> It does not learn </w:t>
      </w:r>
      <w:r>
        <w:t xml:space="preserve">the destination’s identity, because the device encrypts to a key blinded for that line, which cannot be tied to the destination without solving a decisional Diffie-Hellman problem (Appendix A.5).</w:t>
      </w:r>
      <w:r>
        <w:t xml:space="preserve"/>
      </w:r>
      <w:r>
        <w:t xml:space="preserve"> It also cannot tell whether a packet is a credential packet or a content packet.</w:t>
      </w:r>
      <w:r>
        <w:t xml:space="preserve"> </w:t>
      </w:r>
      <w:r>
        <w:t xml:space="preserve">If one routing code’s destination is learned by other means, such as a colluding second relay, every routing code that shares its pseudonym resolves to the same operator for that generation.</w:t>
      </w:r>
      <w:r>
        <w:t xml:space="preserve"/>
      </w:r>
      <w:r>
        <w:t xml:space="preserve"/>
      </w:r>
    </w:p>
    <w:p>
      <w:pPr>
        <w:pStyle w:val="BodyText"/>
      </w:pPr>
      <w:r>
        <w:t xml:space="preserve">A device never uses its own validator’s tag for C, so that tag would appear less often among its packets. The device skews its choice of F and I toward that tag to remove the gap. In a simulation with 17 destination servers in 8 tags of unequal size, the gap between the tags a first relay sees and the shares of lines in the table fell from 5.1 points to 0.5. Without the skew a first relay could infer the validator’s tag from the packets of one device (Section 3.9 of [3]). The skew leaves F, I and the Registry Nodes, which see which servers submitted a record, with weak evidence: with 8 equal tags, F and I both in the validator’s tag make it 2.6 times as likely. These are simple models, and real line shares and tag sizes will differ.</w:t>
      </w:r>
    </w:p>
    <w:p>
      <w:pPr>
        <w:pStyle w:val="BodyText"/>
      </w:pPr>
      <w:r>
        <w:rPr>
          <w:b/>
          <w:bCs/>
        </w:rPr>
        <w:t xml:space="preserve">Adoption dependency.</w:t>
      </w:r>
      <w:r>
        <w:t xml:space="preserve"> </w:t>
      </w:r>
      <w:r>
        <w:t xml:space="preserve">The system provides positive verification only. Content from devices whose manufacturers have not registered as credential validators lacks registry records and passes through the system unverified, so coverage is bounded by manufacturer participation. In regulatory or legal contexts this creates a two-tier asymmetry: content from participating manufacturers carries positive verification and content from non-participating hardware does not. The architecture does not create this dynamic, since unverified content exists in any system that provides positive verification only, but it does not eliminate it. The natural mitigation is open-source credential infrastructure that lets smaller manufacturers and device categories participate at low cost. The same dynamic applies to a CMPS: content reprocessed by a platform that has not adopted a CMPS (Section 4.2, R3) loses its chain to the original record. Platforms with an independent incentive to offer users non-AI provenance validation are likely early adopters. Deployers in regulatory contexts where verification asymmetry could have legal consequences should assess participation coverage before deployment.</w:t>
      </w:r>
    </w:p>
    <w:p>
      <w:pPr>
        <w:pStyle w:val="Heading1"/>
      </w:pPr>
      <w:r>
        <w:rPr>
          <w:b/>
          <w:bCs/>
        </w:rPr>
        <w:t xml:space="preserve">7 CONCLUSION</w:t>
      </w:r>
    </w:p>
    <w:p>
      <w:pPr>
        <w:pStyle w:val="BodyText"/>
      </w:pPr>
      <w:r>
        <w:t xml:space="preserve">A breach of any single component of the Birthmark Protocol exposes a fragment, not a map of who photographed what.</w:t>
      </w:r>
      <w:r>
        <w:t xml:space="preserve"> Semantic Non-Assembly applies where the target function is defined and bounded and the designer controls which components hold which information fields (Section 1.1).</w:t>
      </w:r>
    </w:p>
    <w:p>
      <w:pPr>
        <w:pStyle w:val="BodyText"/>
      </w:pPr>
      <w:r>
        <w:t xml:space="preserve">The architecture establishes two tiers of claim. First, no single component holds sufficient information to correlate a device to content. A coalition of the validator and one C, active during processing, links the device to the ContentHash for the transactions that C handles, about 1 in 17 in a 20-node pool, decoys included. The system never holds media content, so the coalition attributes only images it already holds.</w:t>
      </w:r>
      <w:r>
        <w:t xml:space="preserve"> Second, targeted correlation of one already-possessed image to its originating device is prevented against the compromise of any single component (the credential validator, C, a gatekeeper, a first relay or either content channel server), confirmed in the symbolic model in Appendix A.3. Coordinated compromise of the validator together with C, or with any one gatekeeper, is outside the adversary class, and Section 4.6 states what it yields.</w:t>
      </w:r>
    </w:p>
    <w:p>
      <w:pPr>
        <w:pStyle w:val="BodyText"/>
      </w:pPr>
      <w:r>
        <w:t xml:space="preserve">The proofs do not model timing or packet size, so Appendix D evaluates traffic analysis in a simulation with 100 decoy transactions in flight.</w:t>
      </w:r>
    </w:p>
    <w:p>
      <w:pPr>
        <w:pStyle w:val="BodyText"/>
      </w:pPr>
      <w:r>
        <w:t xml:space="preserve">A reference instantiation (the Birthmark Standard) specifies governance by journalism organizations. Its device-side cost, calculated from published benchmarks on the slowest hardware class considered, is 2 to 10 ms for encryption and 430 to 600 ms for hashing a representative RAW file (Appendix B).</w:t>
      </w:r>
      <w:r>
        <w:t xml:space="preserve"> The specification is published under Apache 2.0.</w:t>
      </w:r>
    </w:p>
    <w:p>
      <w:pPr>
        <w:pStyle w:val="BodyText"/>
      </w:pPr>
      <w:r>
        <w:t xml:space="preserve">Components will be compromised. In our simulated evaluation, an outside observer holding no keys names the originating device 4.8% of the time with one real transaction in flight and 2.0% with 150, and the best-placed compromised component names it 5.5% and 2.4% of the time.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 </w:t>
      </w:r>
      <w:r>
        <w:t xml:space="preserve">The author designed the Birthmark Protocol architecture before using any language model. The author then used Anthropic’s Claude (Sonnet 4.6, 5.0 and 5.5, and Opus 5.5) to research cryptographic mechanisms and verification techniques, to draft and revise the ProVerif models and the simulation code, to find gaps in the threat analysis, and to edit the manuscript and check its internal consistency and references. The author also used ChatGPT for adversarial review. The author chose the architecture, evaluated each suggestion, and is responsible for the models, results and conclusions.</w:t>
      </w:r>
    </w:p>
    <w:p>
      <w:pPr>
        <w:pStyle w:val="BodyText"/>
      </w:pPr>
      <w:r>
        <w:rPr>
          <w:b/>
          <w:bCs/>
        </w:rPr>
        <w:t xml:space="preserve">Funding. </w:t>
      </w:r>
      <w:r>
        <w:t xml:space="preserve">This work received no grant funding.</w:t>
      </w:r>
    </w:p>
    <w:p>
      <w:pPr>
        <w:pStyle w:val="BodyText"/>
      </w:pPr>
      <w:r>
        <w:rPr>
          <w:b/>
          <w:bCs/>
        </w:rPr>
        <w:t xml:space="preserve">Competing interests. </w:t>
      </w:r>
      <w:r>
        <w:t xml:space="preserve">The author is the founder of the Birthmark Standard Foundation, which develops the Birthmark Protocol described in this paper.</w:t>
      </w:r>
    </w:p>
    <w:p>
      <w:pPr>
        <w:pStyle w:val="Heading1"/>
      </w:pPr>
      <w:r>
        <w:rPr>
          <w:b/>
          <w:bCs/>
        </w:rPr>
        <w:t xml:space="preserve">REFERENCES</w:t>
      </w:r>
    </w:p>
    <w:p>
      <w:pPr>
        <w:pStyle w:val="BodyText"/>
      </w:pPr>
      <w:r>
        <w:t xml:space="preserve">[1] Coalition for Content Provenance and Authenticity. C2PA Technical Specification, Version 2.4. 2026. https://spec.c2pa.org/specifications/specifications/2.4/specs/C2PA_Specification.html</w:t>
      </w:r>
    </w:p>
    <w:p>
      <w:pPr>
        <w:pStyle w:val="BodyText"/>
      </w:pPr>
      <w:r>
        <w:t xml:space="preserve">[2] Abadi, M.; Blanchet, B.; Fournet, C. The Applied Pi Calculus: Mobile Values, New Names, and Secure Communication. Journal of the ACM, 65(1), Article 1, pp. 1–41, 2018. DOI: 10.1145/3127586.</w:t>
      </w:r>
    </w:p>
    <w:p>
      <w:pPr>
        <w:pStyle w:val="BodyText"/>
      </w:pPr>
      <w:r>
        <w:t xml:space="preserve">[3] Ryan, S. Birthmark Protocol Integration: Capture Device, Credential Validator and Edit Workflow. arXiv:2602.04933, 2026. (arXiv preprint; not independently peer-reviewed at time of this submission.)</w:t>
      </w:r>
    </w:p>
    <w:p>
      <w:pPr>
        <w:pStyle w:val="BodyText"/>
      </w:pPr>
      <w:r>
        <w:t xml:space="preserve">[4] Salleras, X.; Daza, V. ZPiE: Zero-Knowledge Proofs in Embedded Systems. Mathematics 2021, 9(20), 2569. https://doi.org/10.3390/math9202569</w:t>
      </w:r>
    </w:p>
    <w:p>
      <w:pPr>
        <w:pStyle w:val="BodyText"/>
      </w:pPr>
      <w:r>
        <w:t xml:space="preserve">[5] Saltzer, J.H.; Schroeder, M.D. The Protection of Information in Computer Systems. Proceedings of the IEEE, 63(9), 1278–1308, 1975.</w:t>
      </w:r>
    </w:p>
    <w:p>
      <w:pPr>
        <w:pStyle w:val="BodyText"/>
      </w:pPr>
      <w:r>
        <w:t xml:space="preserve">[6] Groth, J. On the Size of Pairing-Based Non-Interactive Arguments. EUROCRYPT 2016, LNCS vol. 9666, pp. 305–326. DOI: 10.1007/978-3-662-49896-5_11.</w:t>
      </w:r>
    </w:p>
    <w:p>
      <w:pPr>
        <w:pStyle w:val="BodyText"/>
      </w:pPr>
      <w:r>
        <w:t xml:space="preserve">[7] Cavoukian, A. Privacy by Design: The 7 Foundational Principles. IPC Ontario, revised January 2011.</w:t>
      </w:r>
    </w:p>
    <w:p>
      <w:pPr>
        <w:pStyle w:val="BodyText"/>
      </w:pPr>
      <w:r>
        <w:t xml:space="preserve">[8] Abadi, M.; Rogaway, P. Reconciling Two Views of Cryptography. Journal of Cryptology, 15(2), 103–127, 2002. DOI: 10.1007/s00145-001-0014-7.</w:t>
      </w:r>
    </w:p>
    <w:p>
      <w:pPr>
        <w:pStyle w:val="BodyText"/>
      </w:pPr>
      <w:r>
        <w:t xml:space="preserve">[9] Ben-Or, M.; Goldwasser, S.; Wigderson, A. Completeness Theorems for Non-Cryptographic Fault-Tolerant Distributed Computation. STOC 1988, pp. 1–10. DOI: 10.1145/62212.62213.</w:t>
      </w:r>
    </w:p>
    <w:p>
      <w:pPr>
        <w:pStyle w:val="BodyText"/>
      </w:pPr>
      <w:r>
        <w:t xml:space="preserve">[10] Nissenbaum, H. Privacy as Contextual Integrity. Washington Law Review, 79(1), 119–157, 2004.</w:t>
      </w:r>
    </w:p>
    <w:p>
      <w:pPr>
        <w:pStyle w:val="BodyText"/>
      </w:pPr>
      <w:r>
        <w:t xml:space="preserve">[11] Dwork, C.; McSherry, F.; Nissim, K.; Smith, A. Calibrating Noise to Sensitivity in Private Data Analysis. TCC 2006, LNCS vol. 3876, pp. 265–284. DOI: 10.1007/11681878_14.</w:t>
      </w:r>
    </w:p>
    <w:p>
      <w:pPr>
        <w:pStyle w:val="BodyText"/>
      </w:pPr>
      <w:r>
        <w:t xml:space="preserve">[12] Hoepman, J.-H. Privacy Design Strategies. arXiv:1210.6621, 2012.</w:t>
      </w:r>
    </w:p>
    <w:p>
      <w:pPr>
        <w:pStyle w:val="BodyText"/>
      </w:pPr>
      <w:r>
        <w:t xml:space="preserve">[13] Chong, S.; van der Meyden, R. Using Architecture to Reason About Information Security. ACM Transactions on Information and System Security, 18(2), Article 8, 2015. DOI: 10.1145/2829949.</w:t>
      </w:r>
    </w:p>
    <w:p>
      <w:pPr>
        <w:pStyle w:val="BodyText"/>
      </w:pPr>
      <w:r>
        <w:t xml:space="preserve">[14] Tamada, H.; Nakamura, M.; Monden, A.; Matsumoto, K. Java Birthmarks — Detecting the Software Theft. IEICE Transactions on Information and Systems, E88-D(9), 2148–2158, 2005. DOI: 10.1093/ietisy/e88-d.9.2148.</w:t>
      </w:r>
    </w:p>
    <w:p>
      <w:pPr>
        <w:pStyle w:val="BodyText"/>
      </w:pPr>
      <w:r>
        <w:t xml:space="preserve">[15] Dingledine, R.; Mathewson, N.; Syverson, P. Tor: The Second-Generation Onion Router. Proceedings of the 13th USENIX Security Symposium, 2004.</w:t>
      </w:r>
    </w:p>
    <w:p>
      <w:pPr>
        <w:pStyle w:val="BodyText"/>
      </w:pPr>
      <w:r>
        <w:t xml:space="preserve">[16] Identity Theft Resource Center. 2025 Annual Data Breach Report. January 29, 2026. https://www.idtheftcenter.org/post/2025-annual-data-breach-report-record-number-compromises/</w:t>
      </w:r>
    </w:p>
    <w:p>
      <w:pPr>
        <w:pStyle w:val="BodyText"/>
      </w:pPr>
      <w:r>
        <w:t xml:space="preserve">[17] Bernstein, D.J.; Schwabe, P. NEON Crypto. CHES 2012. LNCS vol. 7428, pp. 320–339. DOI: 10.1007/978-3-642-33027-8_19.</w:t>
      </w:r>
    </w:p>
    <w:p>
      <w:pPr>
        <w:pStyle w:val="BodyText"/>
      </w:pPr>
      <w:r>
        <w:t xml:space="preserve">[18] Bernstein, D.J.; Lange, T. (eds.). eBACS: ECRYPT Benchmarking of Cryptographic Systems. https://bench.cr.yp.to (accessed 2026).</w:t>
      </w:r>
    </w:p>
    <w:p>
      <w:pPr>
        <w:pStyle w:val="BodyText"/>
      </w:pPr>
      <w:r>
        <w:t xml:space="preserve">[19] Bünz, B.; Rothblum, R.D.; Wang, W. Flock: Fast Proving for Batch Boolean Computations. arXiv:2607.27491, 2026. Also IACR Cryptology ePrint Archive, Paper 2026/1329.</w:t>
      </w:r>
    </w:p>
    <w:p>
      <w:pPr>
        <w:pStyle w:val="BodyText"/>
      </w:pPr>
      <w:r>
        <w:t xml:space="preserve">[20] Davidson, A.; Iyengar, J.; Wood, C.A. The Privacy Pass Architecture. RFC 9576, IETF, June 2024.</w:t>
      </w:r>
    </w:p>
    <w:p>
      <w:pPr>
        <w:pStyle w:val="BodyText"/>
      </w:pPr>
      <w:r>
        <w:t xml:space="preserve">[21] Brickell, E.; Camenisch, J.; Chen, L. Direct Anonymous Attestation. Proceedings of the 11th ACM Conference on Computer and Communications Security (CCS), pp. 132–145, 2004. DOI: 10.1145/1030083.1030103.</w:t>
      </w:r>
    </w:p>
    <w:p>
      <w:pPr>
        <w:pStyle w:val="BodyText"/>
      </w:pPr>
      <w:r>
        <w:t xml:space="preserve">[22] Thomson, M.; Wood, C.A. Oblivious HTTP. RFC 9458, IETF, January 2024.</w:t>
      </w:r>
    </w:p>
    <w:p>
      <w:pPr>
        <w:pStyle w:val="BodyText"/>
      </w:pPr>
      <w:r>
        <w:t xml:space="preserve">[23] Lund, J. Technology Preview: Sealed Sender for Signal. Signal blog, October 29, 2018. https://signal.org/blog/sealed-sender/</w:t>
      </w:r>
    </w:p>
    <w:p>
      <w:pPr>
        <w:pStyle w:val="BodyText"/>
      </w:pPr>
      <w:r>
        <w:t xml:space="preserve">[24] Martiny, I.; Kaptchuk, G.; Aviv, A.; Roche, D.; Wustrow, E. Improving Signal’s Sealed Sender. NDSS 2021.</w:t>
      </w:r>
    </w:p>
    <w:p>
      <w:pPr>
        <w:pStyle w:val="BodyText"/>
      </w:pPr>
      <w:r>
        <w:t xml:space="preserve">[25] Corrigan-Gibbs, H.; Boneh, D. Prio: Private, Robust, and Scalable Computation of Aggregate Statistics. 14th USENIX Symposium on Networked Systems Design and Implementation (NSDI 17), 2017.</w:t>
      </w:r>
    </w:p>
    <w:p>
      <w:pPr>
        <w:pStyle w:val="BodyText"/>
      </w:pPr>
      <w:r>
        <w:t xml:space="preserve">[26] Bellare, M.; Boldyreva, A.; Desai, A.; Pointcheval, D. Key-Privacy in Public-Key Encryption. ASIACRYPT 2001, LNCS vol. 2248, pp. 566–582. DOI: 10.1007/3-540-45682-1_33.</w:t>
      </w:r>
    </w:p>
    <w:p>
      <w:pPr>
        <w:pStyle w:val="BodyText"/>
      </w:pPr>
      <w:r>
        <w:t xml:space="preserve">[27] Arapinis, M.; Chothia, T.; Ritter, E.; Ryan, M. Analysing Unlinkability and Anonymity Using the Applied Pi Calculus. 23rd IEEE Computer Security Foundations Symposium (CSF), 2010, pp. 107–121.</w:t>
      </w:r>
    </w:p>
    <w:p>
      <w:pPr>
        <w:pStyle w:val="BodyText"/>
      </w:pPr>
      <w:r>
        <w:t xml:space="preserve">[28] Ernstberger, J.; Chaliasos, S.; Kadianakis, G.; Steinhorst, S.; Jovanovic, P.; Gervais, A.; Livshits, B.; Orrù, M. zk-Bench: A Toolset for Comparative Evaluation and Performance Benchmarking of SNARKs. Security and Cryptography for Networks (SCN 2024), LNCS vol. 14973, pp. 46–72, 2024. Figures cited from the preprint: IACR Cryptology ePrint Archive, Paper 2023/1503.</w:t>
      </w:r>
    </w:p>
    <w:p>
      <w:pPr>
        <w:pStyle w:val="BodyText"/>
      </w:pPr>
      <w:r>
        <w:t xml:space="preserve">[29] Oumuamua Labs. Mobile ZK Benchmarks (hekate-mobile 0.3.0). https://oumuamua.dev/mobile/benchmarks, published 12 October 2026, accessed 24 October 2026. Vendor-reported; not peer reviewed.</w:t>
      </w:r>
    </w:p>
    <w:p>
      <w:pPr>
        <w:pStyle w:val="Heading1"/>
      </w:pPr>
      <w:r>
        <w:rPr>
          <w:b/>
          <w:bCs/>
        </w:rPr>
        <w:t xml:space="preserve">APPENDIX A: PROVERIF FORMAL VERIFICATION</w:t>
      </w:r>
    </w:p>
    <w:p>
      <w:pPr>
        <w:pStyle w:val="Heading2"/>
      </w:pPr>
      <w:r>
        <w:rPr>
          <w:b/>
          <w:bCs/>
        </w:rPr>
        <w:t xml:space="preserve">A.1 Overview</w:t>
      </w:r>
    </w:p>
    <w:p>
      <w:pPr>
        <w:pStyle w:val="BodyText"/>
      </w:pPr>
      <w:r>
        <w:t xml:space="preserve">This appendix presents the formal verification of the privacy properties described in Section 4 using ProVerif 2.05, a cryptographic protocol verifier that relies on a process algebra, the applied pi-calculus [2], to model protocol participants and prove security properties. </w:t>
      </w:r>
      <w:r>
        <w:t xml:space="preserve">Full source for the eleven models, their twins and a pipeline-liveness model is maintained at</w:t>
      </w:r>
      <w:r>
        <w:t xml:space="preserve"> https://github.com/Birthmark-Standard/Protocol. </w:t>
      </w:r>
      <w:r>
        <w:t xml:space="preserve">Eleven models establish twelve properties: Properties A and E share two models, Properties C and F share one, and Properties G and I share two (Table A.1).</w:t>
      </w:r>
    </w:p>
    <w:p>
      <w:pPr>
        <w:pStyle w:val="BodyText"/>
      </w:pPr>
      <w:r>
        <w:t xml:space="preserve">ProVerif identifiers cannot contain hyphens, so the models write the paper’s terms in lowercase. Key names take a _pk or _sk suffix. The mapping is:</w:t>
      </w:r>
    </w:p>
    <w:p>
      <w:pPr>
        <w:pStyle w:val="Compact"/>
        <w:numPr>
          <w:ilvl w:val="0"/>
          <w:numId w:val="1"/>
        </w:numPr>
      </w:pPr>
      <w:r>
        <w:t xml:space="preserve">fullpackethash and blindshare_key for FullPacketHash and BlindShare_key.</w:t>
      </w:r>
    </w:p>
    <w:p>
      <w:pPr>
        <w:pStyle w:val="Compact"/>
        <w:numPr>
          <w:ilvl w:val="0"/>
          <w:numId w:val="1"/>
        </w:numPr>
      </w:pPr>
      <w:r>
        <w:t xml:space="preserve">v_token and v_sign for the validator’s token-decryption and signing keys.</w:t>
      </w:r>
    </w:p>
    <w:p>
      <w:pPr>
        <w:pStyle w:val="Compact"/>
        <w:numPr>
          <w:ilvl w:val="0"/>
          <w:numId w:val="1"/>
        </w:numPr>
      </w:pPr>
      <w:r>
        <w:t xml:space="preserve">c_device for C’s Channel Key.</w:t>
      </w:r>
    </w:p>
    <w:p>
      <w:pPr>
        <w:pStyle w:val="Compact"/>
        <w:numPr>
          <w:ilvl w:val="0"/>
          <w:numId w:val="1"/>
        </w:numPr>
      </w:pPr>
      <w:r>
        <w:t xml:space="preserve">f_device and i_device for a content channel server’s Channel Key.</w:t>
      </w:r>
    </w:p>
    <w:p>
      <w:pPr>
        <w:pStyle w:val="Compact"/>
        <w:numPr>
          <w:ilvl w:val="0"/>
          <w:numId w:val="1"/>
        </w:numPr>
      </w:pPr>
      <w:r>
        <w:t xml:space="preserve">f_sign and i_sign for its separate registry-signing key.</w:t>
      </w:r>
    </w:p>
    <w:p>
      <w:pPr>
        <w:pStyle w:val="Compact"/>
        <w:numPr>
          <w:ilvl w:val="0"/>
          <w:numId w:val="1"/>
        </w:numPr>
      </w:pPr>
      <w:r>
        <w:t xml:space="preserve">g1 and g1_sign for a gatekeeper’s Server Transit Key and countersignature key.</w:t>
      </w:r>
    </w:p>
    <w:p>
      <w:pPr>
        <w:pStyle w:val="BodyText"/>
        <w:spacing w:before="120"/>
      </w:pPr>
      <w:r>
        <w:t xml:space="preserve">The models follow the message flow of Section 3.3 and omit optional implementation details</w:t>
      </w:r>
      <w:r>
        <w:t xml:space="preserve"> such as timestamp rounding and Token Key selection. Each equivalence model states unlinkability as observational equivalence between two scenarios that differ only in which device produced a submission, the formulation Arapinis et al. [27] give for unlinkability and anonymity in the applied pi calculus. Three rules govern</w:t>
      </w:r>
      <w:r>
        <w:t xml:space="preserve"> how the models are built and read. First, device identities (T1, T2) and contents are public names in the equivalence models, so the adversary can name a candidate. With private names the two scenarios would differ only by a renaming, and the result would hold for any protocol. Second, every model has a twin: a copy with one deliberate fault, such as a validator that folds the credential into its verdict. A result of true is reported only where the twin fails. A model whose twin also passes cannot see the fault it is meant to detect. Third, a pipeline-liveness model (BM_Pipeline_Liveness.pv) confirms that the honest run reaches every stage, so no result holds only because nothing happens.</w:t>
      </w:r>
    </w:p>
    <w:p>
      <w:pPr>
        <w:pStyle w:val="BodyText"/>
      </w:pPr>
      <w:r>
        <w:t xml:space="preserve">ProVerif operates under the Dolev-Yao adversary model: the adversary controls the network, can intercept and inject messages on public channels, but cannot break cryptographic primitives (AES-256, SHA-256). </w:t>
      </w:r>
      <w:r>
        <w:t xml:space="preserve">This is consistent with the Network Adversary (A_NET) defined in Section 4.1.</w:t>
      </w:r>
    </w:p>
    <w:p>
      <w:pPr>
        <w:pStyle w:val="TableCaption"/>
      </w:pPr>
      <w:r>
        <w:rPr>
          <w:b/>
          <w:bCs/>
        </w:rPr>
        <w:t xml:space="preserve">Table A.1.</w:t>
      </w:r>
      <w:r>
        <w:t xml:space="preserve"> The twelve verified properties, the ProVerif model used for each, and the proof technique applied.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000"/>
        <w:gridCol w:w="3500"/>
        <w:gridCol w:w="1550"/>
        <w:gridCol w:w="3310"/>
      </w:tblGrid>
      <w:tr>
        <w:trPr>
          <w:cantSplit/>
          <w:tblHeader w:val="true"/>
        </w:trPr>
        <w:tc>
          <w:tcPr>
            <w:tcW w:w="1000" w:type="dxa"/>
            <w:tcBorders>
              <w:top w:val="single" w:sz="12" w:space="0" w:color="000000"/>
              <w:bottom w:val="single" w:sz="6" w:space="0" w:color="000000"/>
            </w:tcBorders>
            <w:vAlign w:val="bottom"/>
          </w:tcPr>
          <w:p>
            <w:pPr>
              <w:pStyle w:val="TableText"/>
            </w:pPr>
            <w:r>
              <w:rPr>
                <w:b/>
                <w:bCs/>
              </w:rPr>
              <w:t xml:space="preserve">Property</w:t>
            </w:r>
          </w:p>
        </w:tc>
        <w:tc>
          <w:tcPr>
            <w:tcW w:w="3500" w:type="dxa"/>
            <w:tcBorders>
              <w:top w:val="single" w:sz="12" w:space="0" w:color="000000"/>
              <w:bottom w:val="single" w:sz="6" w:space="0" w:color="000000"/>
            </w:tcBorders>
            <w:vAlign w:val="bottom"/>
          </w:tcPr>
          <w:p>
            <w:pPr>
              <w:pStyle w:val="TableText"/>
            </w:pPr>
            <w:r>
              <w:rPr>
                <w:b/>
                <w:bCs/>
              </w:rPr>
              <w:t xml:space="preserve">Model</w:t>
            </w:r>
          </w:p>
        </w:tc>
        <w:tc>
          <w:tcPr>
            <w:tcW w:w="1550" w:type="dxa"/>
            <w:tcBorders>
              <w:top w:val="single" w:sz="12" w:space="0" w:color="000000"/>
              <w:bottom w:val="single" w:sz="6" w:space="0" w:color="000000"/>
            </w:tcBorders>
            <w:vAlign w:val="bottom"/>
          </w:tcPr>
          <w:p>
            <w:pPr>
              <w:pStyle w:val="TableText"/>
            </w:pPr>
            <w:r>
              <w:rPr>
                <w:b/>
                <w:bCs/>
              </w:rPr>
              <w:t xml:space="preserve">Technique</w:t>
            </w:r>
          </w:p>
        </w:tc>
        <w:tc>
          <w:tcPr>
            <w:tcW w:w="3310" w:type="dxa"/>
            <w:tcBorders>
              <w:top w:val="single" w:sz="12" w:space="0" w:color="000000"/>
              <w:bottom w:val="single" w:sz="6" w:space="0" w:color="000000"/>
            </w:tcBorders>
            <w:vAlign w:val="bottom"/>
          </w:tcPr>
          <w:p>
            <w:pPr>
              <w:pStyle w:val="TableText"/>
            </w:pPr>
            <w:r>
              <w:rPr>
                <w:b/>
                <w:bCs/>
              </w:rPr>
              <w:t xml:space="preserve">Guarantee</w:t>
            </w:r>
          </w:p>
        </w:tc>
      </w:tr>
      <w:tr>
        <w:trPr>
          <w:cantSplit/>
        </w:trPr>
        <w:tc>
          <w:tcPr>
            <w:tcW w:w="1000" w:type="dxa"/>
            <w:tcBorders>
              <w:bottom w:val="single" w:sz="2" w:space="0" w:color="BFBFBF"/>
            </w:tcBorders>
            <w:vAlign w:val="top"/>
          </w:tcPr>
          <w:p>
            <w:pPr>
              <w:pStyle w:val="TableText"/>
            </w:pPr>
            <w:r>
              <w:t xml:space="preserve">A</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w:t>
            </w:r>
            <w:r>
              <w:t xml:space="preserve"> and secrecy query</w:t>
            </w:r>
          </w:p>
        </w:tc>
        <w:tc>
          <w:tcPr>
            <w:tcW w:w="3310" w:type="dxa"/>
            <w:tcBorders>
              <w:bottom w:val="single" w:sz="2" w:space="0" w:color="BFBFBF"/>
            </w:tcBorders>
            <w:vAlign w:val="top"/>
          </w:tcPr>
          <w:p>
            <w:pPr>
              <w:pStyle w:val="TableText"/>
            </w:pPr>
            <w:r>
              <w:t xml:space="preserve">Device Non-Correlation</w:t>
            </w:r>
          </w:p>
        </w:tc>
      </w:tr>
      <w:tr>
        <w:trPr>
          <w:cantSplit/>
        </w:trPr>
        <w:tc>
          <w:tcPr>
            <w:tcW w:w="1000" w:type="dxa"/>
            <w:tcBorders>
              <w:bottom w:val="single" w:sz="2" w:space="0" w:color="BFBFBF"/>
            </w:tcBorders>
            <w:vAlign w:val="top"/>
          </w:tcPr>
          <w:p>
            <w:pPr>
              <w:pStyle w:val="TableText"/>
            </w:pPr>
            <w:r>
              <w:t xml:space="preserve">B</w:t>
            </w:r>
          </w:p>
        </w:tc>
        <w:tc>
          <w:tcPr>
            <w:tcW w:w="3500" w:type="dxa"/>
            <w:tcBorders>
              <w:bottom w:val="single" w:sz="2" w:space="0" w:color="BFBFBF"/>
            </w:tcBorders>
            <w:vAlign w:val="top"/>
          </w:tcPr>
          <w:p>
            <w:pPr>
              <w:pStyle w:val="TableText"/>
            </w:pPr>
            <w:r>
              <w:t xml:space="preserve">BM_Baseline_Noncorrelation.pv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Registry Observer Non-Identification</w:t>
            </w:r>
          </w:p>
        </w:tc>
      </w:tr>
      <w:tr>
        <w:trPr>
          <w:cantSplit/>
        </w:trPr>
        <w:tc>
          <w:tcPr>
            <w:tcW w:w="1000" w:type="dxa"/>
            <w:tcBorders>
              <w:bottom w:val="single" w:sz="2" w:space="0" w:color="BFBFBF"/>
            </w:tcBorders>
            <w:vAlign w:val="top"/>
          </w:tcPr>
          <w:p>
            <w:pPr>
              <w:pStyle w:val="TableText"/>
            </w:pPr>
            <w:r>
              <w:t xml:space="preserve">C</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Content Channel Server Blindness</w:t>
            </w:r>
          </w:p>
        </w:tc>
      </w:tr>
      <w:tr>
        <w:trPr>
          <w:cantSplit/>
        </w:trPr>
        <w:tc>
          <w:tcPr>
            <w:tcW w:w="1000" w:type="dxa"/>
            <w:tcBorders>
              <w:bottom w:val="single" w:sz="2" w:space="0" w:color="BFBFBF"/>
            </w:tcBorders>
            <w:vAlign w:val="top"/>
          </w:tcPr>
          <w:p>
            <w:pPr>
              <w:pStyle w:val="TableText"/>
            </w:pPr>
            <w:r>
              <w:t xml:space="preserve">D</w:t>
            </w:r>
          </w:p>
        </w:tc>
        <w:tc>
          <w:tcPr>
            <w:tcW w:w="3500" w:type="dxa"/>
            <w:tcBorders>
              <w:bottom w:val="single" w:sz="2" w:space="0" w:color="BFBFBF"/>
            </w:tcBorders>
            <w:vAlign w:val="top"/>
          </w:tcPr>
          <w:p>
            <w:pPr>
              <w:pStyle w:val="TableText"/>
            </w:pPr>
            <w:r>
              <w:t xml:space="preserve">BM_CredentialChannelServer_Compromise.pv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Credential-channel-server-compromise resistance: the device token stays unreachable without the validator’s key</w:t>
            </w:r>
          </w:p>
        </w:tc>
      </w:tr>
      <w:tr>
        <w:trPr>
          <w:cantSplit/>
        </w:trPr>
        <w:tc>
          <w:tcPr>
            <w:tcW w:w="1000" w:type="dxa"/>
            <w:tcBorders>
              <w:bottom w:val="single" w:sz="2" w:space="0" w:color="BFBFBF"/>
            </w:tcBorders>
            <w:vAlign w:val="top"/>
          </w:tcPr>
          <w:p>
            <w:pPr>
              <w:pStyle w:val="TableText"/>
            </w:pPr>
            <w:r>
              <w:t xml:space="preserve">E</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 </w:t>
            </w:r>
            <w:r>
              <w:t xml:space="preserve">and secrecy query (confirmed)</w:t>
            </w:r>
          </w:p>
        </w:tc>
        <w:tc>
          <w:tcPr>
            <w:tcW w:w="3310" w:type="dxa"/>
            <w:tcBorders>
              <w:bottom w:val="single" w:sz="2" w:space="0" w:color="BFBFBF"/>
            </w:tcBorders>
            <w:vAlign w:val="top"/>
          </w:tcPr>
          <w:p>
            <w:pPr>
              <w:pStyle w:val="TableText"/>
            </w:pPr>
            <w:r>
              <w:t xml:space="preserve">Validator-compromise resistance: FullPacketHash stays unreachable without BlindShare_key, including when the device identities are public, for submissions that share a verdict</w:t>
            </w:r>
            <w:r>
              <w:t xml:space="preserve"/>
            </w:r>
          </w:p>
        </w:tc>
      </w:tr>
      <w:tr>
        <w:trPr>
          <w:cantSplit/>
        </w:trPr>
        <w:tc>
          <w:tcPr>
            <w:tcW w:w="1000" w:type="dxa"/>
            <w:tcBorders>
              <w:bottom w:val="single" w:sz="2" w:space="0" w:color="BFBFBF"/>
            </w:tcBorders>
            <w:vAlign w:val="top"/>
          </w:tcPr>
          <w:p>
            <w:pPr>
              <w:pStyle w:val="TableText"/>
            </w:pPr>
            <w:r>
              <w:t xml:space="preserve">F</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Content-channel-server-compromise resistance: the credential channel, including the device token, never reaches a content channel server at all</w:t>
            </w:r>
          </w:p>
        </w:tc>
      </w:tr>
      <w:tr>
        <w:trPr>
          <w:cantSplit/>
        </w:trPr>
        <w:tc>
          <w:tcPr>
            <w:tcW w:w="1000" w:type="dxa"/>
            <w:tcBorders>
              <w:bottom w:val="single" w:sz="2" w:space="0" w:color="BFBFBF"/>
            </w:tcBorders>
            <w:vAlign w:val="top"/>
          </w:tcPr>
          <w:p>
            <w:pPr>
              <w:pStyle w:val="TableText"/>
            </w:pPr>
            <w:r>
              <w:t xml:space="preserve">G</w:t>
            </w:r>
          </w:p>
        </w:tc>
        <w:tc>
          <w:tcPr>
            <w:tcW w:w="3500" w:type="dxa"/>
            <w:tcBorders>
              <w:bottom w:val="single" w:sz="2" w:space="0" w:color="BFBFBF"/>
            </w:tcBorders>
            <w:vAlign w:val="top"/>
          </w:tcPr>
          <w:p>
            <w:pPr>
              <w:pStyle w:val="TableText"/>
            </w:pPr>
            <w:r>
              <w:t xml:space="preserve">BM_Quorum_Forgery.pv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Posting Forgery Resistance: </w:t>
            </w:r>
            <w:r>
              <w:t xml:space="preserve">C accepts only a verdict the validator issued for the FullPacketHash C sent, so no other party can produce a verdict that a quorum carries</w:t>
            </w:r>
          </w:p>
        </w:tc>
      </w:tr>
      <w:tr>
        <w:trPr>
          <w:cantSplit/>
        </w:trPr>
        <w:tc>
          <w:tcPr>
            <w:tcW w:w="1000" w:type="dxa"/>
            <w:tcBorders>
              <w:bottom w:val="single" w:sz="2" w:space="0" w:color="BFBFBF"/>
            </w:tcBorders>
            <w:vAlign w:val="top"/>
          </w:tcPr>
          <w:p>
            <w:pPr>
              <w:pStyle w:val="TableText"/>
            </w:pPr>
            <w:r>
              <w:t xml:space="preserve">H</w:t>
            </w:r>
          </w:p>
        </w:tc>
        <w:tc>
          <w:tcPr>
            <w:tcW w:w="3500" w:type="dxa"/>
            <w:tcBorders>
              <w:bottom w:val="single" w:sz="2" w:space="0" w:color="BFBFBF"/>
            </w:tcBorders>
            <w:vAlign w:val="top"/>
          </w:tcPr>
          <w:p>
            <w:pPr>
              <w:pStyle w:val="TableText"/>
            </w:pPr>
            <w:r>
              <w:t xml:space="preserve">BM_Registry_Convergence.pv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Registry Write Integrity: </w:t>
            </w:r>
            <w:r>
              <w:t xml:space="preserve">one compromised content channel server cannot make the registry finalize a record the other did not sign, and cannot change the optional fields of a record</w:t>
            </w:r>
          </w:p>
        </w:tc>
      </w:tr>
      <w:tr>
        <w:trPr>
          <w:cantSplit/>
        </w:trPr>
        <w:tc>
          <w:tcPr>
            <w:tcW w:w="1000" w:type="dxa"/>
            <w:tcBorders>
              <w:bottom w:val="single" w:sz="2" w:space="0" w:color="BFBFBF"/>
            </w:tcBorders>
            <w:vAlign w:val="top"/>
          </w:tcPr>
          <w:p>
            <w:pPr>
              <w:pStyle w:val="TableText"/>
            </w:pPr>
            <w:r>
              <w:t xml:space="preserve">I</w:t>
            </w:r>
          </w:p>
        </w:tc>
        <w:tc>
          <w:tcPr>
            <w:tcW w:w="3500" w:type="dxa"/>
            <w:tcBorders>
              <w:bottom w:val="single" w:sz="2" w:space="0" w:color="BFBFBF"/>
            </w:tcBorders>
            <w:vAlign w:val="top"/>
          </w:tcPr>
          <w:p>
            <w:pPr>
              <w:pStyle w:val="TableText"/>
            </w:pPr>
            <w:r>
              <w:t xml:space="preserve">BM_Quorum_Forgery.pv</w:t>
            </w:r>
            <w:r>
              <w:t xml:space="preserve">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Quorum Forgery Resistance: one, or even two of three, compromised gatekeepers cannot force a two-of-three match-board quorum </w:t>
            </w:r>
            <w:r>
              <w:t xml:space="preserve">without a preceding genuine validator verdict on the same FullPacketHash</w:t>
            </w:r>
          </w:p>
        </w:tc>
      </w:tr>
      <w:tr>
        <w:trPr>
          <w:cantSplit/>
        </w:trPr>
        <w:tc>
          <w:tcPr>
            <w:tcW w:w="1000" w:type="dxa"/>
            <w:tcBorders>
              <w:bottom w:val="single" w:sz="12" w:space="0" w:color="000000"/>
            </w:tcBorders>
            <w:vAlign w:val="top"/>
          </w:tcPr>
          <w:p>
            <w:pPr>
              <w:pStyle w:val="TableText"/>
            </w:pPr>
            <w:r>
              <w:t xml:space="preserve">J</w:t>
            </w:r>
          </w:p>
        </w:tc>
        <w:tc>
          <w:tcPr>
            <w:tcW w:w="3500" w:type="dxa"/>
            <w:tcBorders>
              <w:bottom w:val="single" w:sz="12" w:space="0" w:color="000000"/>
            </w:tcBorders>
            <w:vAlign w:val="top"/>
          </w:tcPr>
          <w:p>
            <w:pPr>
              <w:pStyle w:val="TableText"/>
            </w:pPr>
            <w:r>
              <w:t xml:space="preserve">BM_Gatekeeper_Compromise.pv</w:t>
            </w:r>
          </w:p>
        </w:tc>
        <w:tc>
          <w:tcPr>
            <w:tcW w:w="1550" w:type="dxa"/>
            <w:tcBorders>
              <w:bottom w:val="single" w:sz="12" w:space="0" w:color="000000"/>
            </w:tcBorders>
            <w:vAlign w:val="top"/>
          </w:tcPr>
          <w:p>
            <w:pPr>
              <w:pStyle w:val="TableText"/>
            </w:pPr>
            <w:r>
              <w:t xml:space="preserve">Observational equivalence (confirmed)</w:t>
            </w:r>
          </w:p>
        </w:tc>
        <w:tc>
          <w:tcPr>
            <w:tcW w:w="3310" w:type="dxa"/>
            <w:tcBorders>
              <w:bottom w:val="single" w:sz="12" w:space="0" w:color="000000"/>
            </w:tcBorders>
            <w:vAlign w:val="top"/>
          </w:tcPr>
          <w:p>
            <w:pPr>
              <w:pStyle w:val="TableText"/>
            </w:pPr>
            <w:r>
              <w:t xml:space="preserve">Gatekeeper-compromise resistance: FullPacketHash, the validator’s signature, BlindShare_key, and C’s ring signature, all held in the clear by one compromised gatekeeper, together yield no device identity</w:t>
            </w:r>
          </w:p>
        </w:tc>
      </w:tr>
      <w:tr>
        <w:trPr>
          <w:cantSplit/>
        </w:trPr>
        <w:tc>
          <w:tcPr>
            <w:tcW w:w="1000" w:type="dxa"/>
            <w:tcBorders>
              <w:bottom w:val="single" w:sz="12" w:space="0" w:color="000000"/>
            </w:tcBorders>
            <w:vAlign w:val="top"/>
          </w:tcPr>
          <w:p>
            <w:pPr>
              <w:pStyle w:val="TableText"/>
            </w:pPr>
            <w:r>
              <w:t xml:space="preserve">K</w:t>
            </w:r>
          </w:p>
        </w:tc>
        <w:tc>
          <w:tcPr>
            <w:tcW w:w="3500" w:type="dxa"/>
            <w:tcBorders>
              <w:bottom w:val="single" w:sz="12" w:space="0" w:color="000000"/>
            </w:tcBorders>
            <w:vAlign w:val="top"/>
          </w:tcPr>
          <w:p>
            <w:pPr>
              <w:pStyle w:val="TableText"/>
            </w:pPr>
            <w:r>
              <w:t xml:space="preserve">BM_FirstRelay_Compromise.pv</w:t>
            </w:r>
          </w:p>
        </w:tc>
        <w:tc>
          <w:tcPr>
            <w:tcW w:w="1550" w:type="dxa"/>
            <w:tcBorders>
              <w:bottom w:val="single" w:sz="12" w:space="0" w:color="000000"/>
            </w:tcBorders>
            <w:vAlign w:val="top"/>
          </w:tcPr>
          <w:p>
            <w:pPr>
              <w:pStyle w:val="TableText"/>
            </w:pPr>
            <w:r>
              <w:t xml:space="preserve">Secrecy query (confirmed)</w:t>
            </w:r>
          </w:p>
        </w:tc>
        <w:tc>
          <w:tcPr>
            <w:tcW w:w="3310" w:type="dxa"/>
            <w:tcBorders>
              <w:bottom w:val="single" w:sz="12" w:space="0" w:color="000000"/>
            </w:tcBorders>
            <w:vAlign w:val="top"/>
          </w:tcPr>
          <w:p>
            <w:pPr>
              <w:pStyle w:val="TableText"/>
            </w:pPr>
            <w:r>
              <w:t xml:space="preserve">First-relay-compromise resistance: the ContentHash never appears in the view of a first relay, which therefore cannot match a device’s address to a content item</w:t>
            </w:r>
          </w:p>
        </w:tc>
      </w:tr>
      <w:tr>
        <w:trPr>
          <w:cantSplit/>
        </w:trPr>
        <w:tc>
          <w:tcPr>
            <w:tcW w:w="1000" w:type="dxa"/>
            <w:tcBorders>
              <w:bottom w:val="single" w:sz="12" w:space="0" w:color="000000"/>
            </w:tcBorders>
            <w:vAlign w:val="top"/>
          </w:tcPr>
          <w:p>
            <w:pPr>
              <w:pStyle w:val="TableText"/>
            </w:pPr>
            <w:r>
              <w:t xml:space="preserve">L</w:t>
            </w:r>
          </w:p>
        </w:tc>
        <w:tc>
          <w:tcPr>
            <w:tcW w:w="3500" w:type="dxa"/>
            <w:tcBorders>
              <w:bottom w:val="single" w:sz="12" w:space="0" w:color="000000"/>
            </w:tcBorders>
            <w:vAlign w:val="top"/>
          </w:tcPr>
          <w:p>
            <w:pPr>
              <w:pStyle w:val="TableText"/>
            </w:pPr>
            <w:r>
              <w:t xml:space="preserve">BM_Token_Binding.pv</w:t>
            </w:r>
          </w:p>
        </w:tc>
        <w:tc>
          <w:tcPr>
            <w:tcW w:w="1550" w:type="dxa"/>
            <w:tcBorders>
              <w:bottom w:val="single" w:sz="12" w:space="0" w:color="000000"/>
            </w:tcBorders>
            <w:vAlign w:val="top"/>
          </w:tcPr>
          <w:p>
            <w:pPr>
              <w:pStyle w:val="TableText"/>
            </w:pPr>
            <w:r>
              <w:t xml:space="preserve">Correspondence query, confirmed</w:t>
            </w:r>
          </w:p>
        </w:tc>
        <w:tc>
          <w:tcPr>
            <w:tcW w:w="3310" w:type="dxa"/>
            <w:tcBorders>
              <w:bottom w:val="single" w:sz="12" w:space="0" w:color="000000"/>
            </w:tcBorders>
            <w:vAlign w:val="top"/>
          </w:tcPr>
          <w:p>
            <w:pPr>
              <w:pStyle w:val="TableText"/>
            </w:pPr>
            <w:r>
              <w:t xml:space="preserve">Token Binding and Single Use: a verdict is issued for a wrapped FullPacketHash only if the device that made the token committed to it, and once per commitment, even when C is compromised and pairs tokens with values</w:t>
            </w:r>
          </w:p>
        </w:tc>
      </w:tr>
    </w:tbl>
    <w:p>
      <w:pPr>
        <w:pStyle w:val="Heading2"/>
      </w:pPr>
      <w:r>
        <w:rPr>
          <w:b/>
          <w:bCs/>
        </w:rPr>
        <w:t xml:space="preserve">A.2 </w:t>
      </w:r>
      <w:r>
        <w:rPr>
          <w:b/>
          <w:bCs/>
        </w:rPr>
        <w:t xml:space="preserve">Property B: Baseline Non-Correlation</w:t>
      </w:r>
      <w:r>
        <w:rPr>
          <w:b/>
          <w:bCs/>
        </w:rPr>
        <w:t xml:space="preserve"> (Executable Proof)</w:t>
      </w:r>
    </w:p>
    <w:p>
      <w:pPr>
        <w:pStyle w:val="BodyText"/>
      </w:pPr>
      <w:r>
        <w:t xml:space="preserve">We model the full architecture with no component compromised: two devices, each with a swapped identity (device(choice[T1,T2], imgX, claimX) | device(choice[T2,T1], imgY, claimY)), submitting through the credential channel server (C), the validator, all three gatekeepers, the two-of-three quorum, and both content channel servers (F, I) to the registry. The observer sees the public channel and the registry. Contents and claims are fixed: both scenarios authenticate the same contents with the same claims, and only the credentials trade places. The question is Property B: whether a registry observer, seeing only the finalized records, can tell which device authenticated which content. Since the model carries every component all the way through to the registry posting, a single equivalence result covers every public output, from the initial submission to the final registry entry. The twin makes the validator fold the credential into its verdict.</w:t>
      </w:r>
    </w:p>
    <w:p>
      <w:pPr>
        <w:pStyle w:val="BodyText"/>
      </w:pPr>
      <w:r>
        <w:t xml:space="preserve">Encryption is modeled as probabilistic: aenc takes a fresh randomness argument for each encryption, the standard ProVerif treatment, because deterministic encryption would let the adversary encrypt a candidate FullPacketHash and compare it with a ciphertext on the wire.</w:t>
      </w:r>
    </w:p>
    <w:p>
      <w:pPr>
        <w:pStyle w:val="BodyText"/>
      </w:pPr>
      <w:r>
        <w:t xml:space="preserve">ProVerif output: RESULT Observational equivalence is true.</w:t>
      </w:r>
    </w:p>
    <w:p>
      <w:pPr>
        <w:pStyle w:val="BodyText"/>
      </w:pPr>
      <w:r>
        <w:t xml:space="preserve">The twin returns “Observational equivalence cannot be proved”, as intended.</w:t>
      </w:r>
    </w:p>
    <w:p>
      <w:pPr>
        <w:pStyle w:val="Heading2"/>
      </w:pPr>
      <w:r>
        <w:rPr>
          <w:b/>
          <w:bCs/>
        </w:rPr>
        <w:t xml:space="preserve">A.3 Single-Component Compromise Resistance: Properties A, C, D, E, F, J, and K</w:t>
      </w:r>
      <w:r>
        <w:rPr>
          <w:b/>
          <w:bCs/>
        </w:rPr>
        <w:t xml:space="preserve"/>
      </w:r>
    </w:p>
    <w:p>
      <w:pPr>
        <w:pStyle w:val="BodyText"/>
      </w:pPr>
      <w:r>
        <w:t xml:space="preserve">Six models test whether the compromise of one component (C, the credential validator, a content channel server, a gatekeeper, or a first relay) is sufficient for correlation: one each for C, the content channel server, the gatekeeper and the first relay, and two for the validator. Each leaks that component’s keys while the other keys stay private. The models for C, the content channel server and the gatekeeper swap the device identity, as in Appendix A.2. Each of these three asks whether the token stays confidential at that component’s vantage point: nothing it sees separates one assignment of tokens to devices from the other. They do not address content, because both scenarios authenticate the same contents. The two validator models cover content (Property A) and the FullPacketHash (Property E).</w:t>
      </w:r>
    </w:p>
    <w:p>
      <w:pPr>
        <w:pStyle w:val="BodyText"/>
      </w:pPr>
      <w:r>
        <w:rPr>
          <w:b/>
          <w:bCs/>
        </w:rPr>
        <w:t xml:space="preserve">Property D (credential channel server). </w:t>
      </w:r>
      <w:r>
        <w:t xml:space="preserve">c_device_sk and c_sign_sk, all of C’s keys, are leaked; every other key stays private.</w:t>
      </w:r>
      <w:r>
        <w:t xml:space="preserve"> C holds FullPacketHash in the clear but never the device token in readable form, since it never holds v_token_sk. </w:t>
      </w:r>
      <w:r>
        <w:t xml:space="preserve">The validator stays honest and answers any request, since C can submit any token and wrapped value and read the reply; the gatekeepers and content channel servers are not modeled, because the adversary plays C’s role towards them.</w:t>
      </w:r>
    </w:p>
    <w:p>
      <w:pPr>
        <w:pStyle w:val="BodyText"/>
      </w:pPr>
      <w:r>
        <w:t xml:space="preserve">ProVerif output: RESULT Observational equivalence is true.</w:t>
      </w:r>
    </w:p>
    <w:p>
      <w:pPr>
        <w:pStyle w:val="BodyText"/>
      </w:pPr>
      <w:r>
        <w:rPr>
          <w:b/>
          <w:bCs/>
        </w:rPr>
        <w:t xml:space="preserve">Properties A and E (credential validator).</w:t>
      </w:r>
      <w:r>
        <w:rPr>
          <w:b/>
          <w:bCs/>
        </w:rPr>
        <w:t xml:space="preserve"> </w:t>
      </w:r>
      <w:r>
        <w:t xml:space="preserve">v_token_sk and v_sign_sk are both leaked together, representing full compromise of the validator; c_device_sk stays private. FullPacketHash reaches the validator only wrapped under BlindShare_key, a value the device generates fresh per transaction, sends to C and never to the validator, so decrypting the now-readable token gives the validator a device identity with nothing to check it against, </w:t>
      </w:r>
      <w:r>
        <w:t xml:space="preserve">and forging its own verdict signature over an arbitrary wrapped value does not help, since that value still opens only with BlindShare_key. Two models test this. BM_Validator_FullPacketHash_Secrecy.pv asks whether the attacker, playing the validator, can ever derive a FullPacketHash; it cannot. Its twin sends the FullPacketHash to the validator without the wrap, and the query fails.</w:t>
      </w:r>
    </w:p>
    <w:p>
      <w:pPr>
        <w:pStyle w:val="BodyText"/>
      </w:pPr>
      <w:r>
        <w:t xml:space="preserve">BM_Verdict_Boundary_SameClass.pv makes the device identities public, as a compromised validator knows them, and swaps the contents between the scenarios in place of the tokens. This asks Property A directly: which content did the device authenticate? Both transactions carry the same claim, so the validator issues the same verdict for both, and the equivalence holds. Its twin, BM_Verdict_Boundary_SameClass_TWIN.pv, gives the two transactions different claims, and the equivalence fails: the verdict the validator signs differs between the scenarios. The verdict is a public attribute of the content and partitions the record population, so a validator that sees a rare verdict has fewer candidate records. The twin marks this boundary and is not a property of the protocol. The symbolic model does not measure how much a rare verdict narrows the candidates.</w:t>
      </w:r>
      <w:r>
        <w:t xml:space="preserve"> Decoy submissions are ordinary submissions with arbitrary content. Their claims follow the real mix of claims, so a rare verdict is shared with decoy records as well as real ones.</w:t>
      </w:r>
    </w:p>
    <w:p>
      <w:pPr>
        <w:pStyle w:val="BodyText"/>
      </w:pPr>
      <w:r>
        <w:t xml:space="preserve">ProVerif output: </w:t>
      </w:r>
      <w:r>
        <w:t xml:space="preserve">BM_Verdict_Boundary_SameClass.pv returns RESULT Observational equivalence is true. BM_Validator_FullPacketHash_Secrecy.pv returns RESULT not attacker(fph_m[]) is true.</w:t>
      </w:r>
    </w:p>
    <w:p>
      <w:pPr>
        <w:pStyle w:val="BodyText"/>
      </w:pPr>
      <w:r>
        <w:t xml:space="preserve">Properties C and F (content channel server). f_device_sk is leaked; every other key stays private.</w:t>
      </w:r>
      <w:r>
        <w:t xml:space="preserve"> </w:t>
      </w:r>
      <w:r>
        <w:t xml:space="preserve">The credential channel, including the device token, never reaches a content channel server at all. The full honest pipeline runs behind the compromised server. The adversary sees the public channel, all three boards and the registry, and plays the server’s own role.</w:t>
      </w:r>
    </w:p>
    <w:p>
      <w:pPr>
        <w:pStyle w:val="BodyText"/>
      </w:pPr>
      <w:r>
        <w:t xml:space="preserve">ProVerif output: RESULT Observational equivalence is true.</w:t>
      </w:r>
    </w:p>
    <w:p>
      <w:pPr>
        <w:pStyle w:val="BodyText"/>
      </w:pPr>
      <w:r>
        <w:rPr>
          <w:b/>
          <w:bCs/>
        </w:rPr>
        <w:t xml:space="preserve">Property J (gatekeeper). </w:t>
      </w:r>
      <w:r>
        <w:t xml:space="preserve">g1_sk and g1_sign_sk are both leaked, giving the adversary a gatekeeper’s own Server Transit Key and countersignature key together; v_token_sk, v_sign_sk, and c_device_sk all stay private. A compromised gatekeeper holds FullPacketHash, the validator’s signature, BlindShare_key, and C’s ring signature in the clear, exactly as it would legitimately, but the device token never reaches it, since the credential channel terminates at C. </w:t>
      </w:r>
      <w:r>
        <w:t xml:space="preserve">C’s signature is modeled as an ordinary signature rather than the ring construction (Appendix A.5).</w:t>
      </w:r>
      <w:r>
        <w:t xml:space="preserve"> The full honest pipeline runs behind it. The boards and the registry are public, and the adversary plays the first gatekeeper’s role.</w:t>
      </w:r>
    </w:p>
    <w:p>
      <w:pPr>
        <w:pStyle w:val="BodyText"/>
      </w:pPr>
      <w:r>
        <w:t xml:space="preserve">ProVerif output: RESULT Observational equivalence is true.</w:t>
      </w:r>
    </w:p>
    <w:p>
      <w:pPr>
        <w:pStyle w:val="BodyText"/>
      </w:pPr>
      <w:r>
        <w:rPr>
          <w:b/>
          <w:bCs/>
        </w:rPr>
        <w:t xml:space="preserve">Property K (first relay). </w:t>
      </w:r>
      <w:r>
        <w:t xml:space="preserve">a_sk is leaked, giving the adversary a first relay’s Server Transit Key; every other key stays private. A passive observer sees every leg of one content path, from the device through the first and second relays to the destination, and each packet together with the address that sent it. This model asks a secrecy question instead of swapping assignments: can the adversary derive either device’s ContentHash? The contents are private marker names, so the adversary cannot compute their hashes. The destination’s output goes to a private channel, because the registry record is public by design and a public ContentHash would make the query false for any protocol. If the adversary cannot derive a ContentHash, nothing in the relay’s view can be matched to a registry record, and the randomized encryption leaves it no way to test a guess. The credential path has the same construction and is not repeated. Timing and packet sizes are not modeled; Appendix D evaluates them. The twin sends the payload without the encryption under the destination’s Channel Key, and both queries fail.</w:t>
      </w:r>
      <w:r>
        <w:t xml:space="preserve"/>
      </w:r>
      <w:r>
        <w:t xml:space="preserve"/>
      </w:r>
    </w:p>
    <w:p>
      <w:pPr>
        <w:pStyle w:val="BodyText"/>
      </w:pPr>
      <w:r>
        <w:t xml:space="preserve">ProVerif output: RESULT not attacker(hash(secret_img_1[])) is true, and the same for hash(secret_img_2[]).</w:t>
      </w:r>
    </w:p>
    <w:p>
      <w:pPr>
        <w:pStyle w:val="BodyText"/>
      </w:pPr>
      <w:r>
        <w:t xml:space="preserve">All hold, and every twin fails. Leaking the keys of C, a content channel server or a gatekeeper, with the others withheld, gives a Dolev-Yao adversary no way to tell which device holds which token. For the validator, the component that sees the credential, it also gives no way to tell which content a device authenticated, within one verdict class. For a first relay, the component that sees the device’s address, it gives no way to derive the ContentHash from the packets it carries.</w:t>
      </w:r>
    </w:p>
    <w:p>
      <w:pPr>
        <w:pStyle w:val="Heading2"/>
      </w:pPr>
      <w:r>
        <w:rPr>
          <w:b/>
          <w:bCs/>
        </w:rPr>
        <w:t xml:space="preserve">A.4 Posting and Registry Integrity: Properties G, H, I, and L</w:t>
      </w:r>
    </w:p>
    <w:p>
      <w:pPr>
        <w:pStyle w:val="BodyText"/>
      </w:pPr>
      <w:r>
        <w:t xml:space="preserve">Four further properties confirm that posting integrity, not privacy, resists single-party forgery. They support R1 (Section 4.2), not R2. All four are correspondence queries: each states that one event happens only if an earlier event did. A secrecy query on a signing key is true whenever the model never sends the key, whether or not the protocol is sound, so it would not test these properties.</w:t>
      </w:r>
    </w:p>
    <w:p>
      <w:pPr>
        <w:pStyle w:val="BodyText"/>
      </w:pPr>
      <w:r>
        <w:t xml:space="preserve">Property G (verdict integrity). The query (Section 3.3) asks whether C ever accepts a verdict that the validator did not issue, or one issued for a wrapped value C did not send: event(c_checked_w(p,v,w)) ==&gt; event(v_issued(v,w)) &amp;&amp; event(c_asked(p,w)). The attacker chooses the claim, so every verdict is reachable.</w:t>
      </w:r>
    </w:p>
    <w:p>
      <w:pPr>
        <w:pStyle w:val="BodyText"/>
      </w:pPr>
      <w:r>
        <w:t xml:space="preserve">ProVerif output: </w:t>
      </w:r>
      <w:r>
        <w:t xml:space="preserve">Query event(c_checked_w(p,v,w)) ==&gt; event(v_issued(v,w)) &amp;&amp; event(c_asked(p,w)) is true, in both Quorum models.</w:t>
      </w:r>
    </w:p>
    <w:p>
      <w:pPr>
        <w:pStyle w:val="BodyText"/>
      </w:pPr>
      <w:r>
        <w:rPr>
          <w:b/>
          <w:bCs/>
        </w:rPr>
        <w:t xml:space="preserve">Property H (registry write). </w:t>
      </w:r>
      <w:r>
        <w:t xml:space="preserve">Section 3.3 requires two entries signed by distinct content channel servers (f_sign_sk for F, i_sign_sk for I) before the registry finalizes a record. F is fully compromised</w:t>
      </w:r>
      <w:r>
        <w:t xml:space="preserve">: f_device_sk, f_sign_sk and C’s ring key are leaked. I is honest, and the full honest pipeline runs behind both: the device, C, the validator, the three gatekeepers and the quorum. The adversary plays F. It reads content packets, boards and the quorum’s output, and may send I any packet. The content packet carries an optional field, and FullPacketHash covers it. The registry finalizes a record when it holds two signatures over the same record, one under each server’s registry key. Three queries are asked. The registry never finalizes a record that I did not sign. What I signs matches what the device sent, including the optional field. And what I signs carries a ContentHash and nonce the device sent, so the verdict is bound to a real submission. A fourth query confirms that a record can be finalized.</w:t>
      </w:r>
    </w:p>
    <w:p>
      <w:pPr>
        <w:pStyle w:val="BodyText"/>
      </w:pPr>
      <w:r>
        <w:t xml:space="preserve">ProVerif output: </w:t>
      </w:r>
      <w:r>
        <w:t xml:space="preserve">All three queries are true. In the twin the registry accepts two signatures from the same signer, and the first query fails.</w:t>
      </w:r>
    </w:p>
    <w:p>
      <w:pPr>
        <w:pStyle w:val="BodyText"/>
      </w:pPr>
      <w:r>
        <w:rPr>
          <w:b/>
          <w:bCs/>
        </w:rPr>
        <w:t xml:space="preserve">Property I (quorum forgery resistance). </w:t>
      </w:r>
      <w:r>
        <w:t xml:space="preserve">Two models test the two-of-three quorum of Section 3.3 against increasingly strong compromise.</w:t>
      </w:r>
      <w:r>
        <w:t xml:space="preserve"/>
      </w:r>
      <w:r>
        <w:t xml:space="preserve"> The first asks whether one compromised gatekeeper, with its board fully attacker-controlled (both its Server Transit Key and its own signing key), can force this two-of-three quorum </w:t>
      </w:r>
      <w:r>
        <w:t xml:space="preserve">for a FullPacketHash and verdict the validator never issued</w:t>
      </w:r>
      <w:r>
        <w:t xml:space="preserve">.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w:t>
      </w:r>
      <w:r>
        <w:t xml:space="preserve">and C’s signature over the same FullPacketHash and verdict.</w:t>
      </w:r>
      <w:r>
        <w:t xml:space="preserve"> </w:t>
      </w:r>
      <w:r>
        <w:t xml:space="preserve">The device’s claim is attacker-chosen, so the queries cover every verdict. The first asks whether reaching quorum ever happens without C having checked that same FullPacketHash and verdict: event(quorum_reached(p,v)) ==&gt; event(c_checked(p,v)). Together with Property G, a quorum then implies a verdict the validator issued. The second asks whether a quorum is reachable at all, so that the first is not true merely because nothing happens.</w:t>
      </w:r>
    </w:p>
    <w:p>
      <w:pPr>
        <w:pStyle w:val="BodyText"/>
      </w:pPr>
      <w:r>
        <w:t xml:space="preserve">ProVerif output: In both models, query event(quorum_reached(p,v)) ==&gt; event(c_checked(p,v)) is true and a quorum is reachable. In the twin of the first, the honest gatekeepers and the quorum verify no signatures. In the twin of the second, the quorum of the two compromised boards does not verify C’s signature. Each twin fails the first query.</w:t>
      </w:r>
      <w:r>
        <w:t xml:space="preserve"/>
      </w:r>
    </w:p>
    <w:p>
      <w:pPr>
        <w:pStyle w:val="BodyText"/>
      </w:pPr>
      <w:r>
        <w:rPr>
          <w:b/>
          <w:bCs/>
        </w:rPr>
        <w:t xml:space="preserve">Property L (token binding and single use). </w:t>
      </w:r>
      <w:r>
        <w:t xml:space="preserve">Section 3.2 requires the validator to compare the binding hash in the token with the hash of the Enc_FullPacketHash that C forwards, so a token cannot be used with a different submission. C is compromised and the adversary plays C. It receives the token, FullPacketHash and BlindShare_key, and may send the validator any token it holds with any wrapped value. The adversary can pass along tokens the device made but cannot build one. The first query asks whether the validator ever issues a verdict for a replay nonce and wrapped value that the device did not commit to: event(v_issued(rn,e)) ==&gt; event(dev_committed(rn,e)). A second query is the injective form of the first. A third asks whether an issuing run is reachable, so that neither holds vacuously. The validator claims each nonce in one atomic step (Section 4.4 of [3]), which the model states as a restriction: no two validator runs record the same nonce. Single use rests on that assumption.</w:t>
      </w:r>
    </w:p>
    <w:p>
      <w:pPr>
        <w:pStyle w:val="BodyText"/>
      </w:pPr>
      <w:r>
        <w:t xml:space="preserve">ProVerif output: The first two queries are true and an issuing run is reachable. The twin without the binding comparison fails both, and the twin without the nonce claim fails the second.</w:t>
      </w:r>
    </w:p>
    <w:p>
      <w:pPr>
        <w:pStyle w:val="BodyText"/>
      </w:pPr>
      <w:r>
        <w:t xml:space="preserve">Every process is unboundedly replicated, modeling arbitrarily many transactions, and a single</w:t>
      </w:r>
      <w:r>
        <w:t xml:space="preserve"> compromised content channel server, however fully controlled, can still produce only its own signature.</w:t>
      </w:r>
      <w:r>
        <w:t xml:space="preserve"/>
      </w:r>
      <w:r>
        <w:t xml:space="preserve"/>
      </w:r>
      <w:r>
        <w:t xml:space="preserve"/>
      </w:r>
    </w:p>
    <w:p>
      <w:pPr>
        <w:pStyle w:val="Heading2"/>
      </w:pPr>
      <w:r>
        <w:rPr>
          <w:b/>
          <w:bCs/>
        </w:rPr>
        <w:t xml:space="preserve">A.5 Scope, Limitations, and Computational Soundness</w:t>
      </w:r>
    </w:p>
    <w:p>
      <w:pPr>
        <w:pStyle w:val="BodyText"/>
      </w:pPr>
      <w:r>
        <w:t xml:space="preserve">The symbolic model treats AES-256, SHA-256, and the signature schemes as perfect (Dolev-Yao) and </w:t>
      </w:r>
      <w:r>
        <w:t xml:space="preserve">abstracts C’s ring signature and the validator’s ring signature as ordinary signatures (Appendix A.3).</w:t>
      </w:r>
      <w:r>
        <w:t xml:space="preserve"> Computational-soundness results such as Abadi and Rogaway [8]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r>
        <w:t xml:space="preserve"> Several things are not modeled. A compromised validator that withholds replies and watches the registry (selective denial) is outside the models: the symbolic adversary sees the order of registry outputs, which separates the two scenarios for a timing reason the symbolic model cannot weigh. Holds, bundling and decoys address this. Appendix D evaluates timing attacks by passive adversaries and does not test a validator that withholds replies. The models also omit the validator’s transaction log (Section 4.4 of [3]), the registry’s duplicate rule (Section 3.3), the key reference, the Optional-Field Flags byte and padding. The optional fields are modeled as a single field. For the privacy properties, cross-role compromise, which Section 4.6 treats as outside the adversary class, is not modeled.</w:t>
      </w:r>
    </w:p>
    <w:p>
      <w:pPr>
        <w:pStyle w:val="BodyText"/>
      </w:pPr>
      <w:r>
        <w:t xml:space="preserve">The blinded Channel Key (Section 5) is outside the ProVerif models, and its claim is computational. A line carries a pair (GP, pk) with pk = sk·GP, where GP is a random multiple of the X25519 base point, so that it lies in the prime-order subgroup, and sk is the node’s one secret scalar. Suppose that a holder of the device routing table ties two lines to one node. Given a decisional Diffie-Hellman instance (G, xG, yG, Z), set one line to (G, xG) and the other to (yG, Z). The two lines share a secret scalar exactly when Z = xyG, so the holder distinguishes the instance. The argument extends to many lines by random self-reduction. Bellare, Boldyreva, Desai and Pointcheval [26] show that ElGamal is key-private under DDH when each key has its own random generator, which gives the independence of a ciphertext from the line it was sent to. Three things are not covered. Their result is for ElGamal, not for the AEAD layer of ECIES. It is a chosen-plaintext result, so it does not cover a table holder who sends crafted packets to a candidate node and observes whether they decrypt. And the key-derivation function is an open item in the reference instantiation [3].</w:t>
      </w:r>
    </w:p>
    <w:p>
      <w:pPr>
        <w:pStyle w:val="TableCaption"/>
      </w:pPr>
      <w:r>
        <w:rPr>
          <w:b/>
          <w:bCs/>
        </w:rPr>
        <w:t xml:space="preserve">Table A.2.</w:t>
      </w:r>
      <w:r>
        <w:t xml:space="preserve"> What lies outside the current formal guarantees.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490"/>
        <w:gridCol w:w="4002"/>
        <w:gridCol w:w="3037"/>
        <w:gridCol w:w="1830"/>
      </w:tblGrid>
      <w:tr>
        <w:trPr>
          <w:cantSplit/>
          <w:tblHeader w:val="true"/>
        </w:trPr>
        <w:tc>
          <w:tcPr>
            <w:tcW w:w="490" w:type="dxa"/>
            <w:tcBorders>
              <w:top w:val="single" w:sz="12" w:space="0" w:color="000000"/>
              <w:bottom w:val="single" w:sz="6" w:space="0" w:color="000000"/>
            </w:tcBorders>
            <w:vAlign w:val="bottom"/>
          </w:tcPr>
          <w:p>
            <w:pPr>
              <w:pStyle w:val="TableText"/>
              <w:keepNext/>
            </w:pPr>
            <w:r>
              <w:rPr>
                <w:b/>
                <w:bCs/>
              </w:rPr>
              <w:t xml:space="preserve">#</w:t>
            </w:r>
          </w:p>
        </w:tc>
        <w:tc>
          <w:tcPr>
            <w:tcW w:w="4002" w:type="dxa"/>
            <w:tcBorders>
              <w:top w:val="single" w:sz="12" w:space="0" w:color="000000"/>
              <w:bottom w:val="single" w:sz="6" w:space="0" w:color="000000"/>
            </w:tcBorders>
            <w:vAlign w:val="bottom"/>
          </w:tcPr>
          <w:p>
            <w:pPr>
              <w:pStyle w:val="TableText"/>
              <w:keepNext/>
            </w:pPr>
            <w:r>
              <w:rPr>
                <w:b/>
                <w:bCs/>
              </w:rPr>
              <w:t xml:space="preserve">Limitation</w:t>
            </w:r>
          </w:p>
        </w:tc>
        <w:tc>
          <w:tcPr>
            <w:tcW w:w="3037" w:type="dxa"/>
            <w:tcBorders>
              <w:top w:val="single" w:sz="12" w:space="0" w:color="000000"/>
              <w:bottom w:val="single" w:sz="6" w:space="0" w:color="000000"/>
            </w:tcBorders>
            <w:vAlign w:val="bottom"/>
          </w:tcPr>
          <w:p>
            <w:pPr>
              <w:pStyle w:val="TableText"/>
              <w:keepNext/>
            </w:pPr>
            <w:r>
              <w:rPr>
                <w:b/>
                <w:bCs/>
              </w:rPr>
              <w:t xml:space="preserve">Status</w:t>
            </w:r>
          </w:p>
        </w:tc>
        <w:tc>
          <w:tcPr>
            <w:tcW w:w="1830" w:type="dxa"/>
            <w:tcBorders>
              <w:top w:val="single" w:sz="12" w:space="0" w:color="000000"/>
              <w:bottom w:val="single" w:sz="6" w:space="0" w:color="000000"/>
            </w:tcBorders>
            <w:vAlign w:val="bottom"/>
          </w:tcPr>
          <w:p>
            <w:pPr>
              <w:pStyle w:val="TableText"/>
              <w:keepNext/>
            </w:pPr>
            <w:r>
              <w:rPr>
                <w:b/>
                <w:bCs/>
              </w:rPr>
              <w:t xml:space="preserve">Where addressed</w:t>
            </w:r>
          </w:p>
        </w:tc>
      </w:tr>
      <w:tr>
        <w:trPr>
          <w:cantSplit/>
        </w:trPr>
        <w:tc>
          <w:tcPr>
            <w:tcW w:w="490" w:type="dxa"/>
            <w:tcBorders>
              <w:bottom w:val="single" w:sz="2" w:space="0" w:color="BFBFBF"/>
            </w:tcBorders>
            <w:vAlign w:val="top"/>
          </w:tcPr>
          <w:p>
            <w:pPr>
              <w:pStyle w:val="TableText"/>
              <w:keepNext/>
            </w:pPr>
            <w:r>
              <w:t xml:space="preserve">1</w:t>
            </w:r>
          </w:p>
        </w:tc>
        <w:tc>
          <w:tcPr>
            <w:tcW w:w="4002" w:type="dxa"/>
            <w:tcBorders>
              <w:bottom w:val="single" w:sz="2" w:space="0" w:color="BFBFBF"/>
            </w:tcBorders>
            <w:vAlign w:val="top"/>
          </w:tcPr>
          <w:p>
            <w:pPr>
              <w:pStyle w:val="TableText"/>
              <w:keepNext/>
            </w:pPr>
            <w:r>
              <w:t xml:space="preserve">Physical realization (side-channel, power analysis, timing leakage in the A_HW class)</w:t>
            </w:r>
          </w:p>
        </w:tc>
        <w:tc>
          <w:tcPr>
            <w:tcW w:w="3037" w:type="dxa"/>
            <w:tcBorders>
              <w:bottom w:val="single" w:sz="2" w:space="0" w:color="BFBFBF"/>
            </w:tcBorders>
            <w:vAlign w:val="top"/>
          </w:tcPr>
          <w:p>
            <w:pPr>
              <w:pStyle w:val="TableText"/>
              <w:keepNext/>
            </w:pPr>
            <w:r>
              <w:t xml:space="preserve">Out of scope: a physical implementation concern, not a property of the protocol</w:t>
            </w:r>
          </w:p>
        </w:tc>
        <w:tc>
          <w:tcPr>
            <w:tcW w:w="1830" w:type="dxa"/>
            <w:tcBorders>
              <w:bottom w:val="single" w:sz="2" w:space="0" w:color="BFBFBF"/>
            </w:tcBorders>
            <w:vAlign w:val="top"/>
          </w:tcPr>
          <w:p>
            <w:pPr>
              <w:pStyle w:val="TableText"/>
              <w:keepNext/>
            </w:pPr>
            <w:r>
              <w:t xml:space="preserve">Section 4.1 (A_HW)</w:t>
            </w:r>
          </w:p>
        </w:tc>
      </w:tr>
      <w:tr>
        <w:trPr>
          <w:cantSplit/>
        </w:trPr>
        <w:tc>
          <w:tcPr>
            <w:tcW w:w="490" w:type="dxa"/>
            <w:tcBorders>
              <w:bottom w:val="single" w:sz="2" w:space="0" w:color="BFBFBF"/>
            </w:tcBorders>
            <w:vAlign w:val="top"/>
          </w:tcPr>
          <w:p>
            <w:pPr>
              <w:pStyle w:val="TableText"/>
            </w:pPr>
            <w:r>
              <w:t xml:space="preserve">2</w:t>
            </w:r>
          </w:p>
        </w:tc>
        <w:tc>
          <w:tcPr>
            <w:tcW w:w="4002" w:type="dxa"/>
            <w:tcBorders>
              <w:bottom w:val="single" w:sz="2" w:space="0" w:color="BFBFBF"/>
            </w:tcBorders>
            <w:vAlign w:val="top"/>
          </w:tcPr>
          <w:p>
            <w:pPr>
              <w:pStyle w:val="TableText"/>
            </w:pPr>
            <w:r>
              <w:t xml:space="preserve">Traffic analysis and timing correlation against an adversary holding no keys</w:t>
            </w:r>
          </w:p>
        </w:tc>
        <w:tc>
          <w:tcPr>
            <w:tcW w:w="3037" w:type="dxa"/>
            <w:tcBorders>
              <w:bottom w:val="single" w:sz="2" w:space="0" w:color="BFBFBF"/>
            </w:tcBorders>
            <w:vAlign w:val="top"/>
          </w:tcPr>
          <w:p>
            <w:pPr>
              <w:pStyle w:val="TableText"/>
            </w:pPr>
            <w:r>
              <w:t xml:space="preserve">Empirical</w:t>
            </w:r>
          </w:p>
        </w:tc>
        <w:tc>
          <w:tcPr>
            <w:tcW w:w="1830" w:type="dxa"/>
            <w:tcBorders>
              <w:bottom w:val="single" w:sz="2" w:space="0" w:color="BFBFBF"/>
            </w:tcBorders>
            <w:vAlign w:val="top"/>
          </w:tcPr>
          <w:p>
            <w:pPr>
              <w:pStyle w:val="TableText"/>
            </w:pPr>
            <w:r>
              <w:t xml:space="preserve">Appendix D (all vantages)</w:t>
            </w:r>
          </w:p>
        </w:tc>
      </w:tr>
      <w:tr>
        <w:trPr>
          <w:cantSplit/>
        </w:trPr>
        <w:tc>
          <w:tcPr>
            <w:tcW w:w="490" w:type="dxa"/>
            <w:tcBorders>
              <w:bottom w:val="single" w:sz="2" w:space="0" w:color="BFBFBF"/>
            </w:tcBorders>
            <w:vAlign w:val="top"/>
          </w:tcPr>
          <w:p>
            <w:pPr>
              <w:pStyle w:val="TableText"/>
            </w:pPr>
            <w:r>
              <w:t xml:space="preserve">3</w:t>
            </w:r>
          </w:p>
        </w:tc>
        <w:tc>
          <w:tcPr>
            <w:tcW w:w="4002" w:type="dxa"/>
            <w:tcBorders>
              <w:bottom w:val="single" w:sz="2" w:space="0" w:color="BFBFBF"/>
            </w:tcBorders>
            <w:vAlign w:val="top"/>
          </w:tcPr>
          <w:p>
            <w:pPr>
              <w:pStyle w:val="TableText"/>
            </w:pPr>
            <w:r>
              <w:t xml:space="preserve">Governance compromise and legal compulsion</w:t>
            </w:r>
          </w:p>
        </w:tc>
        <w:tc>
          <w:tcPr>
            <w:tcW w:w="3037" w:type="dxa"/>
            <w:tcBorders>
              <w:bottom w:val="single" w:sz="2" w:space="0" w:color="BFBFBF"/>
            </w:tcBorders>
            <w:vAlign w:val="top"/>
          </w:tcPr>
          <w:p>
            <w:pPr>
              <w:pStyle w:val="TableText"/>
            </w:pPr>
            <w:r>
              <w:t xml:space="preserve">Governance and audit</w:t>
            </w:r>
          </w:p>
        </w:tc>
        <w:tc>
          <w:tcPr>
            <w:tcW w:w="1830" w:type="dxa"/>
            <w:tcBorders>
              <w:bottom w:val="single" w:sz="2" w:space="0" w:color="BFBFBF"/>
            </w:tcBorders>
            <w:vAlign w:val="top"/>
          </w:tcPr>
          <w:p>
            <w:pPr>
              <w:pStyle w:val="TableText"/>
            </w:pPr>
            <w:r>
              <w:t xml:space="preserve">Section 6.2; Appendix C</w:t>
            </w:r>
          </w:p>
        </w:tc>
      </w:tr>
      <w:tr>
        <w:trPr>
          <w:cantSplit/>
        </w:trPr>
        <w:tc>
          <w:tcPr>
            <w:tcW w:w="490" w:type="dxa"/>
            <w:tcBorders>
              <w:bottom w:val="single" w:sz="2" w:space="0" w:color="BFBFBF"/>
            </w:tcBorders>
            <w:vAlign w:val="top"/>
          </w:tcPr>
          <w:p>
            <w:pPr>
              <w:pStyle w:val="TableText"/>
            </w:pPr>
            <w:r>
              <w:t xml:space="preserve">4</w:t>
            </w:r>
          </w:p>
        </w:tc>
        <w:tc>
          <w:tcPr>
            <w:tcW w:w="4002" w:type="dxa"/>
            <w:tcBorders>
              <w:bottom w:val="single" w:sz="2" w:space="0" w:color="BFBFBF"/>
            </w:tcBorders>
            <w:vAlign w:val="top"/>
          </w:tcPr>
          <w:p>
            <w:pPr>
              <w:pStyle w:val="TableText"/>
            </w:pPr>
            <w:r>
              <w:t xml:space="preserve">Blockchain consensus and liveness</w:t>
            </w:r>
          </w:p>
        </w:tc>
        <w:tc>
          <w:tcPr>
            <w:tcW w:w="3037" w:type="dxa"/>
            <w:tcBorders>
              <w:bottom w:val="single" w:sz="2" w:space="0" w:color="BFBFBF"/>
            </w:tcBorders>
            <w:vAlign w:val="top"/>
          </w:tcPr>
          <w:p>
            <w:pPr>
              <w:pStyle w:val="TableText"/>
            </w:pPr>
            <w:r>
              <w:t xml:space="preserve">Out of scope; liveness handled by governance removal</w:t>
            </w:r>
          </w:p>
        </w:tc>
        <w:tc>
          <w:tcPr>
            <w:tcW w:w="1830" w:type="dxa"/>
            <w:tcBorders>
              <w:bottom w:val="single" w:sz="2" w:space="0" w:color="BFBFBF"/>
            </w:tcBorders>
            <w:vAlign w:val="top"/>
          </w:tcPr>
          <w:p>
            <w:pPr>
              <w:pStyle w:val="TableText"/>
            </w:pPr>
            <w:r>
              <w:t xml:space="preserve">Section 4.1</w:t>
            </w:r>
          </w:p>
        </w:tc>
      </w:tr>
      <w:tr>
        <w:trPr>
          <w:cantSplit/>
        </w:trPr>
        <w:tc>
          <w:tcPr>
            <w:tcW w:w="490" w:type="dxa"/>
            <w:tcBorders>
              <w:bottom w:val="single" w:sz="2" w:space="0" w:color="BFBFBF"/>
            </w:tcBorders>
            <w:vAlign w:val="top"/>
          </w:tcPr>
          <w:p>
            <w:pPr>
              <w:pStyle w:val="TableText"/>
            </w:pPr>
            <w:r>
              <w:t xml:space="preserve">5</w:t>
            </w:r>
          </w:p>
        </w:tc>
        <w:tc>
          <w:tcPr>
            <w:tcW w:w="4002" w:type="dxa"/>
            <w:tcBorders>
              <w:bottom w:val="single" w:sz="2" w:space="0" w:color="BFBFBF"/>
            </w:tcBorders>
            <w:vAlign w:val="top"/>
          </w:tcPr>
          <w:p>
            <w:pPr>
              <w:pStyle w:val="TableText"/>
            </w:pPr>
            <w:r>
              <w:t xml:space="preserve">Network-layer identity exposure (source IP address)</w:t>
            </w:r>
          </w:p>
        </w:tc>
        <w:tc>
          <w:tcPr>
            <w:tcW w:w="3037" w:type="dxa"/>
            <w:tcBorders>
              <w:bottom w:val="single" w:sz="2" w:space="0" w:color="BFBFBF"/>
            </w:tcBorders>
            <w:vAlign w:val="top"/>
          </w:tcPr>
          <w:p>
            <w:pPr>
              <w:pStyle w:val="TableText"/>
            </w:pPr>
            <w:r>
              <w:t xml:space="preserve">Architectural requirement (R6), not verifiable in the symbolic model; checked in simulation</w:t>
            </w:r>
          </w:p>
        </w:tc>
        <w:tc>
          <w:tcPr>
            <w:tcW w:w="1830" w:type="dxa"/>
            <w:tcBorders>
              <w:bottom w:val="single" w:sz="2" w:space="0" w:color="BFBFBF"/>
            </w:tcBorders>
            <w:vAlign w:val="top"/>
          </w:tcPr>
          <w:p>
            <w:pPr>
              <w:pStyle w:val="TableText"/>
            </w:pPr>
            <w:r>
              <w:t xml:space="preserve">R6 (Section 4.2); Appendix D</w:t>
            </w:r>
          </w:p>
        </w:tc>
      </w:tr>
      <w:tr>
        <w:trPr>
          <w:cantSplit/>
        </w:trPr>
        <w:tc>
          <w:tcPr>
            <w:tcW w:w="490" w:type="dxa"/>
            <w:tcBorders>
              <w:bottom w:val="single" w:sz="12" w:space="0" w:color="000000"/>
            </w:tcBorders>
            <w:vAlign w:val="top"/>
          </w:tcPr>
          <w:p>
            <w:pPr>
              <w:pStyle w:val="TableText"/>
            </w:pPr>
            <w:r>
              <w:t xml:space="preserve">6</w:t>
            </w:r>
          </w:p>
        </w:tc>
        <w:tc>
          <w:tcPr>
            <w:tcW w:w="4002" w:type="dxa"/>
            <w:tcBorders>
              <w:bottom w:val="single" w:sz="12" w:space="0" w:color="000000"/>
            </w:tcBorders>
            <w:vAlign w:val="top"/>
          </w:tcPr>
          <w:p>
            <w:pPr>
              <w:pStyle w:val="TableText"/>
            </w:pPr>
            <w:r>
              <w:t xml:space="preserve">Duplicate-collapse write rule (a database invariant, not an adversarial protocol property)</w:t>
            </w:r>
          </w:p>
        </w:tc>
        <w:tc>
          <w:tcPr>
            <w:tcW w:w="3037" w:type="dxa"/>
            <w:tcBorders>
              <w:bottom w:val="single" w:sz="12" w:space="0" w:color="000000"/>
            </w:tcBorders>
            <w:vAlign w:val="top"/>
          </w:tcPr>
          <w:p>
            <w:pPr>
              <w:pStyle w:val="TableText"/>
            </w:pPr>
            <w:r>
              <w:t xml:space="preserve">Audited operationally</w:t>
            </w:r>
          </w:p>
        </w:tc>
        <w:tc>
          <w:tcPr>
            <w:tcW w:w="1830" w:type="dxa"/>
            <w:tcBorders>
              <w:bottom w:val="single" w:sz="12" w:space="0" w:color="000000"/>
            </w:tcBorders>
            <w:vAlign w:val="top"/>
          </w:tcPr>
          <w:p>
            <w:pPr>
              <w:pStyle w:val="TableText"/>
            </w:pPr>
            <w:r>
              <w:t xml:space="preserve">Section 3.3; Section 6.2</w:t>
            </w:r>
          </w:p>
        </w:tc>
      </w:tr>
      <w:tr>
        <w:trPr>
          <w:cantSplit/>
        </w:trPr>
        <w:tc>
          <w:tcPr>
            <w:tcW w:w="490" w:type="dxa"/>
            <w:tcBorders>
              <w:bottom w:val="single" w:sz="12" w:space="0" w:color="000000"/>
            </w:tcBorders>
            <w:vAlign w:val="top"/>
          </w:tcPr>
          <w:p>
            <w:pPr>
              <w:pStyle w:val="TableText"/>
            </w:pPr>
            <w:r>
              <w:t xml:space="preserve">7</w:t>
            </w:r>
          </w:p>
        </w:tc>
        <w:tc>
          <w:tcPr>
            <w:tcW w:w="4002" w:type="dxa"/>
            <w:tcBorders>
              <w:bottom w:val="single" w:sz="12" w:space="0" w:color="000000"/>
            </w:tcBorders>
            <w:vAlign w:val="top"/>
          </w:tcPr>
          <w:p>
            <w:pPr>
              <w:pStyle w:val="TableText"/>
            </w:pPr>
            <w:r>
              <w:t xml:space="preserve">Active timing attacks (delay, drop, injection)</w:t>
            </w:r>
          </w:p>
        </w:tc>
        <w:tc>
          <w:tcPr>
            <w:tcW w:w="3037" w:type="dxa"/>
            <w:tcBorders>
              <w:bottom w:val="single" w:sz="12" w:space="0" w:color="000000"/>
            </w:tcBorders>
            <w:vAlign w:val="top"/>
          </w:tcPr>
          <w:p>
            <w:pPr>
              <w:pStyle w:val="TableText"/>
            </w:pPr>
            <w:r>
              <w:t xml:space="preserve">Not evaluated</w:t>
            </w:r>
          </w:p>
        </w:tc>
        <w:tc>
          <w:tcPr>
            <w:tcW w:w="1830" w:type="dxa"/>
            <w:tcBorders>
              <w:bottom w:val="single" w:sz="12" w:space="0" w:color="000000"/>
            </w:tcBorders>
            <w:vAlign w:val="top"/>
          </w:tcPr>
          <w:p>
            <w:pPr>
              <w:pStyle w:val="TableText"/>
            </w:pPr>
            <w:r>
              <w:t xml:space="preserve">Appendix D (passive only)</w:t>
            </w:r>
          </w:p>
        </w:tc>
      </w:tr>
      <w:tr>
        <w:trPr>
          <w:cantSplit/>
        </w:trPr>
        <w:tc>
          <w:tcPr>
            <w:tcW w:w="490" w:type="dxa"/>
            <w:tcBorders>
              <w:bottom w:val="single" w:sz="12" w:space="0" w:color="000000"/>
            </w:tcBorders>
            <w:vAlign w:val="top"/>
          </w:tcPr>
          <w:p>
            <w:pPr>
              <w:pStyle w:val="TableText"/>
            </w:pPr>
            <w:r>
              <w:t xml:space="preserve">8</w:t>
            </w:r>
          </w:p>
        </w:tc>
        <w:tc>
          <w:tcPr>
            <w:tcW w:w="4002" w:type="dxa"/>
            <w:tcBorders>
              <w:bottom w:val="single" w:sz="12" w:space="0" w:color="000000"/>
            </w:tcBorders>
            <w:vAlign w:val="top"/>
          </w:tcPr>
          <w:p>
            <w:pPr>
              <w:pStyle w:val="TableText"/>
            </w:pPr>
            <w:r>
              <w:t xml:space="preserve">Cross-role coalitions (validator with C, validator with a gatekeeper)</w:t>
            </w:r>
          </w:p>
        </w:tc>
        <w:tc>
          <w:tcPr>
            <w:tcW w:w="3037" w:type="dxa"/>
            <w:tcBorders>
              <w:bottom w:val="single" w:sz="12" w:space="0" w:color="000000"/>
            </w:tcBorders>
            <w:vAlign w:val="top"/>
          </w:tcPr>
          <w:p>
            <w:pPr>
              <w:pStyle w:val="TableText"/>
            </w:pPr>
            <w:r>
              <w:t xml:space="preserve">Validator with C links device to content for the transactions C handles, by selective posting; validator with a gatekeeper not evaluated</w:t>
            </w:r>
          </w:p>
        </w:tc>
        <w:tc>
          <w:tcPr>
            <w:tcW w:w="1830" w:type="dxa"/>
            <w:tcBorders>
              <w:bottom w:val="single" w:sz="12" w:space="0" w:color="000000"/>
            </w:tcBorders>
            <w:vAlign w:val="top"/>
          </w:tcPr>
          <w:p>
            <w:pPr>
              <w:pStyle w:val="TableText"/>
            </w:pPr>
            <w:r>
              <w:t xml:space="preserve">Section 4.6</w:t>
            </w:r>
          </w:p>
        </w:tc>
      </w:tr>
      <w:tr>
        <w:trPr>
          <w:cantSplit/>
        </w:trPr>
        <w:tc>
          <w:tcPr>
            <w:tcW w:w="490" w:type="dxa"/>
            <w:tcBorders>
              <w:bottom w:val="single" w:sz="12" w:space="0" w:color="000000"/>
            </w:tcBorders>
            <w:vAlign w:val="top"/>
          </w:tcPr>
          <w:p>
            <w:pPr>
              <w:pStyle w:val="TableText"/>
            </w:pPr>
            <w:r>
              <w:t xml:space="preserve">9</w:t>
            </w:r>
          </w:p>
        </w:tc>
        <w:tc>
          <w:tcPr>
            <w:tcW w:w="4002" w:type="dxa"/>
            <w:tcBorders>
              <w:bottom w:val="single" w:sz="12" w:space="0" w:color="000000"/>
            </w:tcBorders>
            <w:vAlign w:val="top"/>
          </w:tcPr>
          <w:p>
            <w:pPr>
              <w:pStyle w:val="TableText"/>
            </w:pPr>
            <w:r>
              <w:t xml:space="preserve">Blinded Channel Key: the key-derivation and AEAD layers of ECIES, and a table holder who probes a candidate node</w:t>
            </w:r>
          </w:p>
        </w:tc>
        <w:tc>
          <w:tcPr>
            <w:tcW w:w="3037" w:type="dxa"/>
            <w:tcBorders>
              <w:bottom w:val="single" w:sz="12" w:space="0" w:color="000000"/>
            </w:tcBorders>
            <w:vAlign w:val="top"/>
          </w:tcPr>
          <w:p>
            <w:pPr>
              <w:pStyle w:val="TableText"/>
            </w:pPr>
            <w:r>
              <w:t xml:space="preserve">Not analysed</w:t>
            </w:r>
          </w:p>
        </w:tc>
        <w:tc>
          <w:tcPr>
            <w:tcW w:w="1830" w:type="dxa"/>
            <w:tcBorders>
              <w:bottom w:val="single" w:sz="12" w:space="0" w:color="000000"/>
            </w:tcBorders>
            <w:vAlign w:val="top"/>
          </w:tcPr>
          <w:p>
            <w:pPr>
              <w:pStyle w:val="TableText"/>
            </w:pPr>
            <w:r>
              <w:t xml:space="preserve">Section 5; Appendix A.5</w:t>
            </w:r>
          </w:p>
        </w:tc>
      </w:tr>
      <w:tr>
        <w:trPr>
          <w:cantSplit/>
        </w:trPr>
        <w:tc>
          <w:tcPr>
            <w:tcW w:w="490" w:type="dxa"/>
            <w:tcBorders>
              <w:bottom w:val="single" w:sz="12" w:space="0" w:color="000000"/>
            </w:tcBorders>
            <w:vAlign w:val="top"/>
          </w:tcPr>
          <w:p>
            <w:pPr>
              <w:pStyle w:val="TableText"/>
            </w:pPr>
            <w:r>
              <w:t xml:space="preserve">10</w:t>
            </w:r>
          </w:p>
        </w:tc>
        <w:tc>
          <w:tcPr>
            <w:tcW w:w="4002" w:type="dxa"/>
            <w:tcBorders>
              <w:bottom w:val="single" w:sz="12" w:space="0" w:color="000000"/>
            </w:tcBorders>
            <w:vAlign w:val="top"/>
          </w:tcPr>
          <w:p>
            <w:pPr>
              <w:pStyle w:val="TableText"/>
            </w:pPr>
            <w:r>
              <w:t xml:space="preserve">Route assignment and the jurisdiction filters of the device routing table</w:t>
            </w:r>
          </w:p>
        </w:tc>
        <w:tc>
          <w:tcPr>
            <w:tcW w:w="3037" w:type="dxa"/>
            <w:tcBorders>
              <w:bottom w:val="single" w:sz="12" w:space="0" w:color="000000"/>
            </w:tcBorders>
            <w:vAlign w:val="top"/>
          </w:tcPr>
          <w:p>
            <w:pPr>
              <w:pStyle w:val="TableText"/>
            </w:pPr>
            <w:r>
              <w:t xml:space="preserve">Not formally verified; the simulation does not model the filters or the skew of F and I</w:t>
            </w:r>
          </w:p>
        </w:tc>
        <w:tc>
          <w:tcPr>
            <w:tcW w:w="1830" w:type="dxa"/>
            <w:tcBorders>
              <w:bottom w:val="single" w:sz="12" w:space="0" w:color="000000"/>
            </w:tcBorders>
            <w:vAlign w:val="top"/>
          </w:tcPr>
          <w:p>
            <w:pPr>
              <w:pStyle w:val="TableText"/>
            </w:pPr>
            <w:r>
              <w:t xml:space="preserve">Section 5; Appendix D.2</w:t>
            </w:r>
          </w:p>
        </w:tc>
      </w:tr>
    </w:tbl>
    <w:p>
      <w:pPr>
        <w:pStyle w:val="Heading1"/>
      </w:pPr>
      <w:r>
        <w:rPr>
          <w:b/>
          <w:bCs/>
        </w:rPr>
        <w:t xml:space="preserve">APPENDIX B: DEVICE-SIDE COMPUTATIONAL TIMING (CALCULATED FROM PUBLISHED BENCHMARKS)</w:t>
      </w:r>
    </w:p>
    <w:p>
      <w:pPr>
        <w:pStyle w:val="BodyText"/>
      </w:pPr>
      <w:r>
        <w:t xml:space="preserve">This paper’s device-side timing claim (Section 6.1) rests on published benchmarks for standard cryptographic primitives. No timing instrumentation has been run on this architecture’s own implementation.</w:t>
      </w:r>
      <w:r>
        <w:t xml:space="preserve"> This calculation is device-side only; the validator’s signing operation (Section 3.3) is not a device cost.</w:t>
      </w:r>
    </w:p>
    <w:p>
      <w:pPr>
        <w:pStyle w:val="BodyText"/>
      </w:pPr>
      <w:r>
        <w:t xml:space="preserve">Seven ECIES encryption operations are required per capture, each requiring two elliptic-curve scalar multiplications for fourteen total (one fixed-base and one variable-base, except the three encryptions to Channel Keys, which take two variable-base). The seven operations are:</w:t>
      </w:r>
    </w:p>
    <w:p>
      <w:pPr>
        <w:pStyle w:val="Compact"/>
        <w:numPr>
          <w:ilvl w:val="0"/>
          <w:numId w:val="1"/>
        </w:numPr>
      </w:pPr>
      <w:r>
        <w:t xml:space="preserve">One encrypts the device token under V-token_pk.</w:t>
      </w:r>
    </w:p>
    <w:p>
      <w:pPr>
        <w:pStyle w:val="Compact"/>
        <w:numPr>
          <w:ilvl w:val="0"/>
          <w:numId w:val="1"/>
        </w:numPr>
      </w:pPr>
      <w:r>
        <w:t xml:space="preserve">One encrypts the credential packet (the encrypted token plus FullPacketHash in the clear) under C’s Channel Key.</w:t>
      </w:r>
    </w:p>
    <w:p>
      <w:pPr>
        <w:pStyle w:val="Compact"/>
        <w:numPr>
          <w:ilvl w:val="0"/>
          <w:numId w:val="1"/>
        </w:numPr>
      </w:pPr>
      <w:r>
        <w:t xml:space="preserve">Two encrypt the content channel, one under each of the two content channel servers’ Channel Keys independently.</w:t>
      </w:r>
    </w:p>
    <w:p>
      <w:pPr>
        <w:pStyle w:val="Compact"/>
        <w:numPr>
          <w:ilvl w:val="0"/>
          <w:numId w:val="1"/>
        </w:numPr>
      </w:pPr>
      <w:r>
        <w:t xml:space="preserve">Three further wraps, one per channel, deliver each channel to its first relay (Section 3.2), a cost of the relay layer that a direct-delivery count would omit.</w:t>
      </w:r>
    </w:p>
    <w:p>
      <w:pPr>
        <w:pStyle w:val="BodyText"/>
        <w:spacing w:before="120"/>
      </w:pPr>
      <w:r>
        <w:t xml:space="preserve">Bernstein and Schwabe [17] report 527,102 cycles (1,517 operations/second) for this exact operation, an ECDH-style key agreement, on a single 800 MHz ARM Cortex-A8 core, the slowest, oldest hardware class this paper’s “commodity embedded processors” claim is meant to cover. That figure gives 0.659 ms per operation, </w:t>
      </w:r>
      <w:r>
        <w:t xml:space="preserve">so the ten variable-base multiplications among the fourteen take roughly 6.6 ms (5.27 million cycles). If every fixed-base multiplication cost as much as a variable-base one, all fourteen would cost 7.38 million cycles, roughly 9.2 ms. A precomputed fixed-base multiplication is cheaper, so the cost lies between 6.6 ms and 9.2 ms.</w:t>
      </w:r>
      <w:r>
        <w:t xml:space="preserve"/>
      </w:r>
    </w:p>
    <w:p>
      <w:pPr>
        <w:pStyle w:val="BodyText"/>
      </w:pPr>
      <w:r>
        <w:t xml:space="preserve">Symmetric authenticated encryption of the credential packet (AES-256-GCM) operates on inputs of a few hundred bytes at most, and published NEON-optimized throughput on the same hardware class (5.60 cycles per byte) puts this at a small fraction of a millisecond, negligible next to the ECC cost.</w:t>
      </w:r>
    </w:p>
    <w:p>
      <w:pPr>
        <w:pStyle w:val="BodyText"/>
      </w:pPr>
      <w:r>
        <w:t xml:space="preserve">Hashing the media content to produce ContentHash is a separate, larger cost, since it operates on the full raw image. eBACS [18] reports SHA-256 throughput of approximately 13.7 cycles/byte for long messages on this same Cortex-A8 hardware class, software-only, no hardware acceleration. A representative RAW file, roughly 25–35 MB for a 24-megapixel sensor and larger for higher resolutions, yields 430–600 ms on this conservative baseline; hardware-accelerated SHA (ARMv8 crypto extensions, roughly 3.6× faster on comparable hardware) brings this down to 120–170 ms, still not negligible.</w:t>
      </w:r>
    </w:p>
    <w:p>
      <w:pPr>
        <w:pStyle w:val="TableCaption"/>
      </w:pPr>
      <w:r>
        <w:rPr>
          <w:b/>
          <w:bCs/>
        </w:rPr>
        <w:t xml:space="preserve">Table A.3.</w:t>
      </w:r>
      <w:r>
        <w:t xml:space="preserve"> Cost of hashing and of proving the hash for a 30 MB file (the middle of the 25–35 MB range above), or 468,750 SHA-256 compressions. Flock has no zero-knowledge, so its row is a floor. Hekate has zero-knowledge on; its row is projected from a 127.9 KiB phone measurement at about 7 ms per KiB and is vendor-reported [29]. The rows come from different hardware, so the table shows scale, not exact ratios.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500"/>
        <w:gridCol w:w="2500"/>
        <w:gridCol w:w="1500"/>
        <w:gridCol w:w="1852"/>
      </w:tblGrid>
      <w:tr>
        <w:trPr>
          <w:cantSplit/>
          <w:tblHeader w:val="true"/>
        </w:trPr>
        <w:tc>
          <w:tcPr>
            <w:tcW w:w="3500" w:type="dxa"/>
            <w:tcBorders>
              <w:top w:val="single" w:sz="12" w:space="0" w:color="000000"/>
              <w:bottom w:val="single" w:sz="6" w:space="0" w:color="000000"/>
            </w:tcBorders>
            <w:vAlign w:val="bottom"/>
          </w:tcPr>
          <w:p>
            <w:pPr>
              <w:pStyle w:val="TableText"/>
              <w:keepNext/>
            </w:pPr>
            <w:r>
              <w:rPr>
                <w:b/>
                <w:bCs/>
              </w:rPr>
              <w:t xml:space="preserve">Item</w:t>
            </w:r>
          </w:p>
        </w:tc>
        <w:tc>
          <w:tcPr>
            <w:tcW w:w="2500" w:type="dxa"/>
            <w:tcBorders>
              <w:top w:val="single" w:sz="12" w:space="0" w:color="000000"/>
              <w:bottom w:val="single" w:sz="6" w:space="0" w:color="000000"/>
            </w:tcBorders>
            <w:vAlign w:val="bottom"/>
          </w:tcPr>
          <w:p>
            <w:pPr>
              <w:pStyle w:val="TableText"/>
              <w:keepNext/>
            </w:pPr>
            <w:r>
              <w:rPr>
                <w:b/>
                <w:bCs/>
              </w:rPr>
              <w:t xml:space="preserve">Cost</w:t>
            </w:r>
          </w:p>
        </w:tc>
        <w:tc>
          <w:tcPr>
            <w:tcW w:w="1500" w:type="dxa"/>
            <w:tcBorders>
              <w:top w:val="single" w:sz="12" w:space="0" w:color="000000"/>
              <w:bottom w:val="single" w:sz="6" w:space="0" w:color="000000"/>
            </w:tcBorders>
            <w:vAlign w:val="bottom"/>
          </w:tcPr>
          <w:p>
            <w:pPr>
              <w:pStyle w:val="TableText"/>
              <w:keepNext/>
            </w:pPr>
            <w:r>
              <w:rPr>
                <w:b/>
                <w:bCs/>
              </w:rPr>
              <w:t xml:space="preserve">Relative to native SHA-256</w:t>
            </w:r>
          </w:p>
        </w:tc>
        <w:tc>
          <w:tcPr>
            <w:tcW w:w="1852"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3500" w:type="dxa"/>
            <w:tcBorders>
              <w:bottom w:val="single" w:sz="2" w:space="0" w:color="BFBFBF"/>
            </w:tcBorders>
            <w:vAlign w:val="top"/>
          </w:tcPr>
          <w:p>
            <w:pPr>
              <w:pStyle w:val="TableText"/>
              <w:keepNext/>
            </w:pPr>
            <w:r>
              <w:t xml:space="preserve">SHA-256 of a 30 MB file, native (no SHA instructions), one Apple M4 Max core</w:t>
            </w:r>
          </w:p>
        </w:tc>
        <w:tc>
          <w:tcPr>
            <w:tcW w:w="2500" w:type="dxa"/>
            <w:tcBorders>
              <w:bottom w:val="single" w:sz="2" w:space="0" w:color="BFBFBF"/>
            </w:tcBorders>
            <w:vAlign w:val="top"/>
          </w:tcPr>
          <w:p>
            <w:pPr>
              <w:pStyle w:val="TableText"/>
              <w:keepNext/>
            </w:pPr>
            <w:r>
              <w:t xml:space="preserve">about 66 ms</w:t>
            </w:r>
          </w:p>
        </w:tc>
        <w:tc>
          <w:tcPr>
            <w:tcW w:w="1500" w:type="dxa"/>
            <w:tcBorders>
              <w:bottom w:val="single" w:sz="2" w:space="0" w:color="BFBFBF"/>
            </w:tcBorders>
            <w:vAlign w:val="top"/>
          </w:tcPr>
          <w:p>
            <w:pPr>
              <w:pStyle w:val="TableText"/>
              <w:keepNext/>
            </w:pPr>
            <w:r>
              <w:t xml:space="preserve">1×</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SHA-256 of the same file, software only, Cortex-A8 class (this paper’s worst case)</w:t>
            </w:r>
          </w:p>
        </w:tc>
        <w:tc>
          <w:tcPr>
            <w:tcW w:w="2500" w:type="dxa"/>
            <w:tcBorders>
              <w:bottom w:val="single" w:sz="2" w:space="0" w:color="BFBFBF"/>
            </w:tcBorders>
            <w:vAlign w:val="top"/>
          </w:tcPr>
          <w:p>
            <w:pPr>
              <w:pStyle w:val="TableText"/>
              <w:keepNext/>
            </w:pPr>
            <w:r>
              <w:t xml:space="preserve">430–600 ms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the text above; [18]</w:t>
            </w:r>
          </w:p>
        </w:tc>
      </w:tr>
      <w:tr>
        <w:trPr>
          <w:cantSplit/>
        </w:trPr>
        <w:tc>
          <w:tcPr>
            <w:tcW w:w="3500" w:type="dxa"/>
            <w:tcBorders>
              <w:bottom w:val="single" w:sz="2" w:space="0" w:color="BFBFBF"/>
            </w:tcBorders>
            <w:vAlign w:val="top"/>
          </w:tcPr>
          <w:p>
            <w:pPr>
              <w:pStyle w:val="TableText"/>
              <w:keepNext/>
            </w:pPr>
            <w:r>
              <w:t xml:space="preserve">Proving the hash with Flock (no zero-knowledge), one M4 Max core</w:t>
            </w:r>
          </w:p>
        </w:tc>
        <w:tc>
          <w:tcPr>
            <w:tcW w:w="2500" w:type="dxa"/>
            <w:tcBorders>
              <w:bottom w:val="single" w:sz="2" w:space="0" w:color="BFBFBF"/>
            </w:tcBorders>
            <w:vAlign w:val="top"/>
          </w:tcPr>
          <w:p>
            <w:pPr>
              <w:pStyle w:val="TableText"/>
              <w:keepNext/>
            </w:pPr>
            <w:r>
              <w:t xml:space="preserve">about 11 s</w:t>
            </w:r>
          </w:p>
        </w:tc>
        <w:tc>
          <w:tcPr>
            <w:tcW w:w="1500" w:type="dxa"/>
            <w:tcBorders>
              <w:bottom w:val="single" w:sz="2" w:space="0" w:color="BFBFBF"/>
            </w:tcBorders>
            <w:vAlign w:val="top"/>
          </w:tcPr>
          <w:p>
            <w:pPr>
              <w:pStyle w:val="TableText"/>
              <w:keepNext/>
            </w:pPr>
            <w:r>
              <w:t xml:space="preserve">about 170×</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Proving the hash with Hekate (zero-knowledge), iPhone 14 Pro Max, projected</w:t>
            </w:r>
          </w:p>
        </w:tc>
        <w:tc>
          <w:tcPr>
            <w:tcW w:w="2500" w:type="dxa"/>
            <w:tcBorders>
              <w:bottom w:val="single" w:sz="2" w:space="0" w:color="BFBFBF"/>
            </w:tcBorders>
            <w:vAlign w:val="top"/>
          </w:tcPr>
          <w:p>
            <w:pPr>
              <w:pStyle w:val="TableText"/>
              <w:keepNext/>
            </w:pPr>
            <w:r>
              <w:t xml:space="preserve">about 200–220 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[29]</w:t>
            </w:r>
          </w:p>
        </w:tc>
      </w:tr>
    </w:tbl>
    <w:p>
      <w:pPr>
        <w:pStyle w:val="BodyText"/>
        <w:spacing w:before="200"/>
      </w:pPr>
      <w:r>
        <w:t xml:space="preserve">Proving the hash costs about 170 times computing it on the same core (Flock, no zero-knowledge; throughputs from Table 2 of [19]). Against this paper’s worst case of 430–600 ms, Flock’s 11 seconds is 19 to 26 times slower on a core no camera has, and the zero-knowledge Hekate projection is 340 to 510 times slower. On a server, the SNARK libraries in zk-Bench take 8 to 134 seconds and 9 to 15 GB to prove a 16 kB SHA-256 input [28], so one circuit over 30 MB does not fit with those libraries. The 30 MB figures for zero-knowledge proving are extrapolations, not measurements.</w:t>
      </w:r>
    </w:p>
    <w:p>
      <w:pPr>
        <w:pStyle w:val="Heading1"/>
      </w:pPr>
      <w:r>
        <w:rPr>
          <w:b/>
          <w:bCs/>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which also specifies admission and voting procedure, phased rollout, removal timelines and foundation reserve nodes;</w:t>
      </w:r>
      <w:r>
        <w:t xml:space="preserve"> nothing here is formally verified, and it should be read at the same level of confidence as Section 5’s other deployment-specific commitments. Key rotation, revocation and schema attestation for validators are specified in Sections 4.2, 4.3 and 10.5 of the Integration paper [3].</w:t>
      </w:r>
    </w:p>
    <w:p>
      <w:pPr>
        <w:pStyle w:val="BodyText"/>
      </w:pPr>
      <w:r>
        <w:rPr>
          <w:b/>
          <w:bCs/>
        </w:rPr>
        <w:t xml:space="preserve">Roles.</w:t>
      </w:r>
      <w:r>
        <w:t xml:space="preserve"> Credential validators (camera manufacturers, application developers) participate as integrators; there is no admission process, since they are the system’s customers, not consortium members. Registry Node operators are consortium members: eligible organizations in journalism, fact-checking, press freedom, or information integrity, excluding media-production organizations for conflict of interest, consistent with Section 6.2. Each consortium member owns one or more node slots. Each slot is one Registry Node, which can serve in any role except validator and takes part in consensus.</w:t>
      </w:r>
    </w:p>
    <w:p>
      <w:pPr>
        <w:pStyle w:val="BodyText"/>
      </w:pPr>
      <w:r>
        <w:rPr>
          <w:b/>
          <w:bCs/>
        </w:rPr>
        <w:t xml:space="preserve">Ownership limits.</w:t>
      </w:r>
      <w:r>
        <w:t xml:space="preserve"> No single organization may hold more than 2 nodes or 10% of total nodes, whichever is higher; related organizations count as one entity for this purpose.</w:t>
      </w:r>
    </w:p>
    <w:p>
      <w:pPr>
        <w:pStyle w:val="BodyText"/>
      </w:pPr>
      <w:r>
        <w:rPr>
          <w:b/>
          <w:bCs/>
        </w:rPr>
        <w:t xml:space="preserve">Consensus.</w:t>
      </w:r>
      <w:r>
        <w:t xml:space="preserve"> GRANDPA finalization, 67% agreement threshold, consistent with the 2:1 honest-to-compromised ratio already assumed in Section 6.2.</w:t>
      </w:r>
    </w:p>
    <w:p>
      <w:pPr>
        <w:pStyle w:val="BodyText"/>
      </w:pPr>
      <w:r>
        <w:rPr>
          <w:b/>
          <w:bCs/>
        </w:rPr>
        <w:t xml:space="preserve">Removal.</w:t>
      </w:r>
      <w:r>
        <w:t xml:space="preserve"> </w:t>
      </w:r>
      <w:r>
        <w:t xml:space="preserve">Removal requires a formal proposal and a 67% vote; legal compulsion to violate the charter triggers mandatory removal, consistent with Section 6.2.</w:t>
      </w:r>
    </w:p>
    <w:p>
      <w:pPr>
        <w:pStyle w:val="Heading1"/>
      </w:pPr>
      <w:r>
        <w:rPr>
          <w:b/>
          <w:bCs/>
        </w:rPr>
        <w:t xml:space="preserve">APPENDIX D: SIMULATION</w:t>
      </w:r>
    </w:p>
    <w:p>
      <w:pPr>
        <w:pStyle w:val="Heading2"/>
      </w:pPr>
      <w:r>
        <w:rPr>
          <w:b/>
          <w:bCs/>
        </w:rPr>
        <w:t xml:space="preserve">D.1 Overview</w:t>
      </w:r>
    </w:p>
    <w:p>
      <w:pPr>
        <w:pStyle w:val="BodyText"/>
      </w:pPr>
      <w:r>
        <w:t xml:space="preserve">This appendix reports a simulation that addresses questions the formal properties in Appendix A cannot address: the ProVerif models have no notion of timing or packet size, and the symbolic model makes no claims about what a party with legitimate access to its own keys and internal timing can infer.</w:t>
      </w:r>
    </w:p>
    <w:p>
      <w:pPr>
        <w:pStyle w:val="BodyText"/>
      </w:pPr>
      <w:r>
        <w:t xml:space="preserve">The experiment, SNAExperiment, simulates the protocol’s full message flow with real and decoy traffic. A vantage starts from a registry record and names one device. A decision is right when the named device produced the record, and the share of right decisions is the device-named accuracy, the correlation rate. The vantages are a passive network observer holding no keys; six component vantages (the first relay on the credential path, the first relay on a content path, C, the validator, a gatekeeper and a content channel server); and the combined view of one node, which holds the keys and timing of every role the node held in a transaction. All are passive. Each component vantage holds every key its component legitimately holds, its exact event timing, and a passive view of traffic sizes and timing on every link. Full code, parameters and per-cell data are in the paper’s companion repository at SNAExperiment/.</w:t>
      </w:r>
    </w:p>
    <w:p>
      <w:pPr>
        <w:pStyle w:val="Heading2"/>
      </w:pPr>
      <w:r>
        <w:rPr>
          <w:b/>
          <w:bCs/>
        </w:rPr>
        <w:t xml:space="preserve">D.2 Setup</w:t>
      </w:r>
    </w:p>
    <w:p>
      <w:pPr>
        <w:pStyle w:val="BodyText"/>
      </w:pPr>
      <w:r>
        <w:t xml:space="preserve">Twenty Registry Nodes, one validator and three active gatekeepers operate per run. Each transaction uses a credential path (A → B → C) and two content paths (D → E → F, G → H → I). Table 3 gives the holds. One hundred decoy transactions from registered decoy identities are in flight on average in every cell. Each is a genuine transaction, approved and finalized like any real one, and every candidate pool includes the decoy identities, since no vantage can distinguish them. Each decoy identity captures at the rate of one real device.</w:t>
      </w:r>
    </w:p>
    <w:p>
      <w:pPr>
        <w:pStyle w:val="BodyText"/>
      </w:pPr>
      <w:r>
        <w:t xml:space="preserve">Nodes are drawn under the guarantees of the reference routing design (Section 5) and no others. A, D and G are pairwise distinct and each differs from its own path’s destination, and B, E and H each differ from their own path’s first relay and destination. Every other coincidence is allowed, so one node can hold roles on two paths. The simulation does not model the jurisdiction filters, the skew of F and I toward the validator’s tag, or the grouping of routing codes by shared pseudonym. A first-relay vantage is not told the destination behind a routing code. Every node is compromised in turn, on every record. The registry merges F’s and I’s submissions and posts each record on its own 120-second schedule. The posted time is the record time, and every vantage observes it.</w:t>
      </w:r>
    </w:p>
    <w:p>
      <w:pPr>
        <w:pStyle w:val="BodyText"/>
      </w:pPr>
      <w:r>
        <w:t xml:space="preserve">The candidates are the first-relay packets from devices, each on its own, with the decoy identities’ packets included. The three packets of a capture cannot be told apart on the wire, so each vantage pools its likelihoods over them. A vantage scores every candidate by the likelihood of the record time given that candidate, with likelihoods built by Monte Carlo simulation on separate seeds, and names the device with the highest posterior summed over that device’s packets. Records are scored one at a time, with no one-to-one matching of records to devices. The combined view of a node multiplies the likelihood ratios of every role the node held in the record’s transaction and classes each record by those roles. A class is identifiable when it includes a destination role (C, F or I), because the node reads the plaintext hash there and can select those records.</w:t>
      </w:r>
    </w:p>
    <w:p>
      <w:pPr>
        <w:pStyle w:val="BodyText"/>
      </w:pPr>
      <w:r>
        <w:t xml:space="preserve">Results are reported at R = 1 and R = 150 real transactions in flight, each with 100 decoys in flight and 100 runs per cell. Traffic arrives at normal rates from time zero. Each run discards a warm-up, scores the real records introduced in a one-hour window, and ends with a cool-down so that every scored record finalizes. Warm-up and cool-down last 2,616.8 s, the longest capture-to-finalization time measured (2,316.8 s) plus 5 minutes. The mean is 1,159 s at R = 1 and 1,166 s at R = 150. The R = 1 window is extended to 200 real records per run on average. In all, 19,943 records are scored at R = 1 and 46,087 at R = 150. Intervals are 95% and resample whole runs.</w:t>
      </w:r>
    </w:p>
    <w:p>
      <w:pPr>
        <w:pStyle w:val="Heading2"/>
      </w:pPr>
      <w:r>
        <w:rPr>
          <w:b/>
          <w:bCs/>
        </w:rPr>
        <w:t xml:space="preserve">D.3 Results</w:t>
      </w:r>
    </w:p>
    <w:p>
      <w:pPr>
        <w:pStyle w:val="BodyText"/>
      </w:pPr>
      <w:r>
        <w:t xml:space="preserve">Table D.1 gives each vantage’s accuracy and its lead over the passive observer. Chance, a uniform guess among the devices whose packets could have produced the record, is 1.11% at R = 1 and 0.44% at R = 150.</w:t>
      </w:r>
    </w:p>
    <w:p>
      <w:pPr>
        <w:pStyle w:val="TableCaption"/>
      </w:pPr>
      <w:r>
        <w:rPr>
          <w:b/>
          <w:bCs/>
        </w:rPr>
        <w:t xml:space="preserve">Table D.1.</w:t>
      </w:r>
      <w:r>
        <w:t xml:space="preserve"> Device-named accuracy (percent) and lead over the passive observer (points), with 100 decoys in flight. Brackets are 95% intervals.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99"/>
        <w:gridCol w:w="1765"/>
        <w:gridCol w:w="1765"/>
        <w:gridCol w:w="1765"/>
        <w:gridCol w:w="1765"/>
      </w:tblGrid>
      <w:tr>
        <w:trPr>
          <w:cantSplit/>
          <w:tblHeader w:val="true"/>
        </w:trPr>
        <w:tc>
          <w:tcPr>
            <w:tcW w:w="2299" w:type="dxa"/>
            <w:tcBorders>
              <w:top w:val="single" w:sz="12" w:space="0" w:color="000000"/>
              <w:bottom w:val="single" w:sz="6" w:space="0" w:color="000000"/>
            </w:tcBorders>
            <w:vAlign w:val="bottom"/>
          </w:tcPr>
          <w:p>
            <w:pPr>
              <w:pStyle w:val="TableText"/>
              <w:keepNext/>
            </w:pPr>
            <w:r>
              <w:rPr>
                <w:b/>
                <w:bCs/>
              </w:rPr>
              <w:t xml:space="preserve">Vantage</w:t>
            </w:r>
          </w:p>
        </w:tc>
        <w:tc>
          <w:tcPr>
            <w:tcW w:w="1765" w:type="dxa"/>
            <w:tcBorders>
              <w:top w:val="single" w:sz="12" w:space="0" w:color="000000"/>
              <w:bottom w:val="single" w:sz="6" w:space="0" w:color="000000"/>
            </w:tcBorders>
            <w:vAlign w:val="bottom"/>
          </w:tcPr>
          <w:p>
            <w:pPr>
              <w:pStyle w:val="TableText"/>
              <w:keepNext/>
            </w:pPr>
            <w:r>
              <w:rPr>
                <w:b/>
                <w:bCs/>
              </w:rPr>
              <w:t xml:space="preserve">R = 1: accuracy</w:t>
            </w:r>
          </w:p>
        </w:tc>
        <w:tc>
          <w:tcPr>
            <w:tcW w:w="1765" w:type="dxa"/>
            <w:tcBorders>
              <w:top w:val="single" w:sz="12" w:space="0" w:color="000000"/>
              <w:bottom w:val="single" w:sz="6" w:space="0" w:color="000000"/>
            </w:tcBorders>
            <w:vAlign w:val="bottom"/>
          </w:tcPr>
          <w:p>
            <w:pPr>
              <w:pStyle w:val="TableText"/>
              <w:keepNext/>
            </w:pPr>
            <w:r>
              <w:rPr>
                <w:b/>
                <w:bCs/>
              </w:rPr>
              <w:t xml:space="preserve">R = 1: lead</w:t>
            </w:r>
          </w:p>
        </w:tc>
        <w:tc>
          <w:tcPr>
            <w:tcW w:w="1765" w:type="dxa"/>
            <w:tcBorders>
              <w:top w:val="single" w:sz="12" w:space="0" w:color="000000"/>
              <w:bottom w:val="single" w:sz="6" w:space="0" w:color="000000"/>
            </w:tcBorders>
            <w:vAlign w:val="bottom"/>
          </w:tcPr>
          <w:p>
            <w:pPr>
              <w:pStyle w:val="TableText"/>
              <w:keepNext/>
            </w:pPr>
            <w:r>
              <w:rPr>
                <w:b/>
                <w:bCs/>
              </w:rPr>
              <w:t xml:space="preserve">R = 150: accuracy</w:t>
            </w:r>
          </w:p>
        </w:tc>
        <w:tc>
          <w:tcPr>
            <w:tcW w:w="1765" w:type="dxa"/>
            <w:tcBorders>
              <w:top w:val="single" w:sz="12" w:space="0" w:color="000000"/>
              <w:bottom w:val="single" w:sz="6" w:space="0" w:color="000000"/>
            </w:tcBorders>
            <w:vAlign w:val="bottom"/>
          </w:tcPr>
          <w:p>
            <w:pPr>
              <w:pStyle w:val="TableText"/>
              <w:keepNext/>
            </w:pPr>
            <w:r>
              <w:rPr>
                <w:b/>
                <w:bCs/>
              </w:rPr>
              <w:t xml:space="preserve">R = 150: lead</w:t>
            </w:r>
          </w:p>
        </w:tc>
      </w:tr>
      <w:tr>
        <w:trPr>
          <w:cantSplit/>
        </w:trPr>
        <w:tc>
          <w:tcPr>
            <w:tcW w:w="2299" w:type="dxa"/>
            <w:tcBorders>
              <w:bottom w:val="single" w:sz="2" w:space="0" w:color="BFBFBF"/>
            </w:tcBorders>
            <w:vAlign w:val="top"/>
          </w:tcPr>
          <w:p>
            <w:pPr>
              <w:pStyle w:val="TableText"/>
              <w:keepNext/>
            </w:pPr>
            <w:r>
              <w:t xml:space="preserve">Passive observer</w:t>
            </w:r>
          </w:p>
        </w:tc>
        <w:tc>
          <w:tcPr>
            <w:tcW w:w="1765" w:type="dxa"/>
            <w:tcBorders>
              <w:bottom w:val="single" w:sz="2" w:space="0" w:color="BFBFBF"/>
            </w:tcBorders>
            <w:vAlign w:val="top"/>
          </w:tcPr>
          <w:p>
            <w:pPr>
              <w:pStyle w:val="TableText"/>
              <w:keepNext/>
            </w:pPr>
            <w:r>
              <w:t xml:space="preserve">4.77 [4.28, 5.29]</w:t>
            </w:r>
          </w:p>
        </w:tc>
        <w:tc>
          <w:tcPr>
            <w:tcW w:w="1765" w:type="dxa"/>
            <w:tcBorders>
              <w:bottom w:val="single" w:sz="2" w:space="0" w:color="BFBFBF"/>
            </w:tcBorders>
            <w:vAlign w:val="top"/>
          </w:tcPr>
          <w:p>
            <w:pPr>
              <w:pStyle w:val="TableText"/>
              <w:keepNext/>
            </w:pPr>
            <w:r>
              <w:t xml:space="preserve">reference</w:t>
            </w:r>
          </w:p>
        </w:tc>
        <w:tc>
          <w:tcPr>
            <w:tcW w:w="1765" w:type="dxa"/>
            <w:tcBorders>
              <w:bottom w:val="single" w:sz="2" w:space="0" w:color="BFBFBF"/>
            </w:tcBorders>
            <w:vAlign w:val="top"/>
          </w:tcPr>
          <w:p>
            <w:pPr>
              <w:pStyle w:val="TableText"/>
              <w:keepNext/>
            </w:pPr>
            <w:r>
              <w:t xml:space="preserve">2.02 [1.86, 2.18]</w:t>
            </w:r>
          </w:p>
        </w:tc>
        <w:tc>
          <w:tcPr>
            <w:tcW w:w="1765" w:type="dxa"/>
            <w:tcBorders>
              <w:bottom w:val="single" w:sz="2" w:space="0" w:color="BFBFBF"/>
            </w:tcBorders>
            <w:vAlign w:val="top"/>
          </w:tcPr>
          <w:p>
            <w:pPr>
              <w:pStyle w:val="TableText"/>
              <w:keepNext/>
            </w:pPr>
            <w:r>
              <w:t xml:space="preserve">reference</w:t>
            </w:r>
          </w:p>
        </w:tc>
      </w:tr>
      <w:tr>
        <w:trPr>
          <w:cantSplit/>
        </w:trPr>
        <w:tc>
          <w:tcPr>
            <w:tcW w:w="2299" w:type="dxa"/>
            <w:tcBorders>
              <w:bottom w:val="single" w:sz="2" w:space="0" w:color="BFBFBF"/>
            </w:tcBorders>
            <w:vAlign w:val="top"/>
          </w:tcPr>
          <w:p>
            <w:pPr>
              <w:pStyle w:val="TableText"/>
              <w:keepNext/>
            </w:pPr>
            <w:r>
              <w:t xml:space="preserve">First relay, credential</w:t>
            </w:r>
          </w:p>
        </w:tc>
        <w:tc>
          <w:tcPr>
            <w:tcW w:w="1765" w:type="dxa"/>
            <w:tcBorders>
              <w:bottom w:val="single" w:sz="2" w:space="0" w:color="BFBFBF"/>
            </w:tcBorders>
            <w:vAlign w:val="top"/>
          </w:tcPr>
          <w:p>
            <w:pPr>
              <w:pStyle w:val="TableText"/>
              <w:keepNext/>
            </w:pPr>
            <w:r>
              <w:t xml:space="preserve">4.77 [4.27, 5.25]</w:t>
            </w:r>
          </w:p>
        </w:tc>
        <w:tc>
          <w:tcPr>
            <w:tcW w:w="1765" w:type="dxa"/>
            <w:tcBorders>
              <w:bottom w:val="single" w:sz="2" w:space="0" w:color="BFBFBF"/>
            </w:tcBorders>
            <w:vAlign w:val="top"/>
          </w:tcPr>
          <w:p>
            <w:pPr>
              <w:pStyle w:val="TableText"/>
              <w:keepNext/>
            </w:pPr>
            <w:r>
              <w:t xml:space="preserve">0.00 [−0.03, +0.03]</w:t>
            </w:r>
          </w:p>
        </w:tc>
        <w:tc>
          <w:tcPr>
            <w:tcW w:w="1765" w:type="dxa"/>
            <w:tcBorders>
              <w:bottom w:val="single" w:sz="2" w:space="0" w:color="BFBFBF"/>
            </w:tcBorders>
            <w:vAlign w:val="top"/>
          </w:tcPr>
          <w:p>
            <w:pPr>
              <w:pStyle w:val="TableText"/>
              <w:keepNext/>
            </w:pPr>
            <w:r>
              <w:t xml:space="preserve">2.04 [1.88, 2.19]</w:t>
            </w:r>
          </w:p>
        </w:tc>
        <w:tc>
          <w:tcPr>
            <w:tcW w:w="1765" w:type="dxa"/>
            <w:tcBorders>
              <w:bottom w:val="single" w:sz="2" w:space="0" w:color="BFBFBF"/>
            </w:tcBorders>
            <w:vAlign w:val="top"/>
          </w:tcPr>
          <w:p>
            <w:pPr>
              <w:pStyle w:val="TableText"/>
              <w:keepNext/>
            </w:pPr>
            <w:r>
              <w:t xml:space="preserve">+0.01 [−0.00, +0.03]</w:t>
            </w:r>
          </w:p>
        </w:tc>
      </w:tr>
      <w:tr>
        <w:trPr>
          <w:cantSplit/>
        </w:trPr>
        <w:tc>
          <w:tcPr>
            <w:tcW w:w="2299" w:type="dxa"/>
            <w:tcBorders>
              <w:bottom w:val="single" w:sz="2" w:space="0" w:color="BFBFBF"/>
            </w:tcBorders>
            <w:vAlign w:val="top"/>
          </w:tcPr>
          <w:p>
            <w:pPr>
              <w:pStyle w:val="TableText"/>
              <w:keepNext/>
            </w:pPr>
            <w:r>
              <w:t xml:space="preserve">First relay, content</w:t>
            </w:r>
          </w:p>
        </w:tc>
        <w:tc>
          <w:tcPr>
            <w:tcW w:w="1765" w:type="dxa"/>
            <w:tcBorders>
              <w:bottom w:val="single" w:sz="2" w:space="0" w:color="BFBFBF"/>
            </w:tcBorders>
            <w:vAlign w:val="top"/>
          </w:tcPr>
          <w:p>
            <w:pPr>
              <w:pStyle w:val="TableText"/>
              <w:keepNext/>
            </w:pPr>
            <w:r>
              <w:t xml:space="preserve">4.77 [4.27, 5.27]</w:t>
            </w:r>
          </w:p>
        </w:tc>
        <w:tc>
          <w:tcPr>
            <w:tcW w:w="1765" w:type="dxa"/>
            <w:tcBorders>
              <w:bottom w:val="single" w:sz="2" w:space="0" w:color="BFBFBF"/>
            </w:tcBorders>
            <w:vAlign w:val="top"/>
          </w:tcPr>
          <w:p>
            <w:pPr>
              <w:pStyle w:val="TableText"/>
              <w:keepNext/>
            </w:pPr>
            <w:r>
              <w:t xml:space="preserve">0.00 [−0.03, +0.03]</w:t>
            </w:r>
          </w:p>
        </w:tc>
        <w:tc>
          <w:tcPr>
            <w:tcW w:w="1765" w:type="dxa"/>
            <w:tcBorders>
              <w:bottom w:val="single" w:sz="2" w:space="0" w:color="BFBFBF"/>
            </w:tcBorders>
            <w:vAlign w:val="top"/>
          </w:tcPr>
          <w:p>
            <w:pPr>
              <w:pStyle w:val="TableText"/>
              <w:keepNext/>
            </w:pPr>
            <w:r>
              <w:t xml:space="preserve">2.04 [1.88, 2.20]</w:t>
            </w:r>
          </w:p>
        </w:tc>
        <w:tc>
          <w:tcPr>
            <w:tcW w:w="1765" w:type="dxa"/>
            <w:tcBorders>
              <w:bottom w:val="single" w:sz="2" w:space="0" w:color="BFBFBF"/>
            </w:tcBorders>
            <w:vAlign w:val="top"/>
          </w:tcPr>
          <w:p>
            <w:pPr>
              <w:pStyle w:val="TableText"/>
              <w:keepNext/>
            </w:pPr>
            <w:r>
              <w:t xml:space="preserve">+0.01 [−0.00, +0.03]</w:t>
            </w:r>
          </w:p>
        </w:tc>
      </w:tr>
      <w:tr>
        <w:trPr>
          <w:cantSplit/>
        </w:trPr>
        <w:tc>
          <w:tcPr>
            <w:tcW w:w="2299" w:type="dxa"/>
            <w:tcBorders>
              <w:bottom w:val="single" w:sz="2" w:space="0" w:color="BFBFBF"/>
            </w:tcBorders>
            <w:vAlign w:val="top"/>
          </w:tcPr>
          <w:p>
            <w:pPr>
              <w:pStyle w:val="TableText"/>
              <w:keepNext/>
            </w:pPr>
            <w:r>
              <w:t xml:space="preserve">C</w:t>
            </w:r>
          </w:p>
        </w:tc>
        <w:tc>
          <w:tcPr>
            <w:tcW w:w="1765" w:type="dxa"/>
            <w:tcBorders>
              <w:bottom w:val="single" w:sz="2" w:space="0" w:color="BFBFBF"/>
            </w:tcBorders>
            <w:vAlign w:val="top"/>
          </w:tcPr>
          <w:p>
            <w:pPr>
              <w:pStyle w:val="TableText"/>
              <w:keepNext/>
            </w:pPr>
            <w:r>
              <w:t xml:space="preserve">4.78 [4.28, 5.29]</w:t>
            </w:r>
          </w:p>
        </w:tc>
        <w:tc>
          <w:tcPr>
            <w:tcW w:w="1765" w:type="dxa"/>
            <w:tcBorders>
              <w:bottom w:val="single" w:sz="2" w:space="0" w:color="BFBFBF"/>
            </w:tcBorders>
            <w:vAlign w:val="top"/>
          </w:tcPr>
          <w:p>
            <w:pPr>
              <w:pStyle w:val="TableText"/>
              <w:keepNext/>
            </w:pPr>
            <w:r>
              <w:t xml:space="preserve">+0.01 [−0.01, +0.03]</w:t>
            </w:r>
          </w:p>
        </w:tc>
        <w:tc>
          <w:tcPr>
            <w:tcW w:w="1765" w:type="dxa"/>
            <w:tcBorders>
              <w:bottom w:val="single" w:sz="2" w:space="0" w:color="BFBFBF"/>
            </w:tcBorders>
            <w:vAlign w:val="top"/>
          </w:tcPr>
          <w:p>
            <w:pPr>
              <w:pStyle w:val="TableText"/>
              <w:keepNext/>
            </w:pPr>
            <w:r>
              <w:t xml:space="preserve">2.03 [1.87, 2.19]</w:t>
            </w:r>
          </w:p>
        </w:tc>
        <w:tc>
          <w:tcPr>
            <w:tcW w:w="1765" w:type="dxa"/>
            <w:tcBorders>
              <w:bottom w:val="single" w:sz="2" w:space="0" w:color="BFBFBF"/>
            </w:tcBorders>
            <w:vAlign w:val="top"/>
          </w:tcPr>
          <w:p>
            <w:pPr>
              <w:pStyle w:val="TableText"/>
              <w:keepNext/>
            </w:pPr>
            <w:r>
              <w:t xml:space="preserve">+0.01 [−0.00, +0.01]</w:t>
            </w:r>
          </w:p>
        </w:tc>
      </w:tr>
      <w:tr>
        <w:trPr>
          <w:cantSplit/>
        </w:trPr>
        <w:tc>
          <w:tcPr>
            <w:tcW w:w="2299" w:type="dxa"/>
            <w:tcBorders>
              <w:bottom w:val="single" w:sz="2" w:space="0" w:color="BFBFBF"/>
            </w:tcBorders>
            <w:vAlign w:val="top"/>
          </w:tcPr>
          <w:p>
            <w:pPr>
              <w:pStyle w:val="TableText"/>
              <w:keepNext/>
            </w:pPr>
            <w:r>
              <w:t xml:space="preserve">Validator</w:t>
            </w:r>
          </w:p>
        </w:tc>
        <w:tc>
          <w:tcPr>
            <w:tcW w:w="1765" w:type="dxa"/>
            <w:tcBorders>
              <w:bottom w:val="single" w:sz="2" w:space="0" w:color="BFBFBF"/>
            </w:tcBorders>
            <w:vAlign w:val="top"/>
          </w:tcPr>
          <w:p>
            <w:pPr>
              <w:pStyle w:val="TableText"/>
              <w:keepNext/>
            </w:pPr>
            <w:r>
              <w:t xml:space="preserve">5.26 [4.85, 5.66]</w:t>
            </w:r>
          </w:p>
        </w:tc>
        <w:tc>
          <w:tcPr>
            <w:tcW w:w="1765" w:type="dxa"/>
            <w:tcBorders>
              <w:bottom w:val="single" w:sz="2" w:space="0" w:color="BFBFBF"/>
            </w:tcBorders>
            <w:vAlign w:val="top"/>
          </w:tcPr>
          <w:p>
            <w:pPr>
              <w:pStyle w:val="TableText"/>
              <w:keepNext/>
            </w:pPr>
            <w:r>
              <w:t xml:space="preserve">+0.49 [−0.01, +0.94]</w:t>
            </w:r>
          </w:p>
        </w:tc>
        <w:tc>
          <w:tcPr>
            <w:tcW w:w="1765" w:type="dxa"/>
            <w:tcBorders>
              <w:bottom w:val="single" w:sz="2" w:space="0" w:color="BFBFBF"/>
            </w:tcBorders>
            <w:vAlign w:val="top"/>
          </w:tcPr>
          <w:p>
            <w:pPr>
              <w:pStyle w:val="TableText"/>
              <w:keepNext/>
            </w:pPr>
            <w:r>
              <w:t xml:space="preserve">2.32 [2.17, 2.48]</w:t>
            </w:r>
          </w:p>
        </w:tc>
        <w:tc>
          <w:tcPr>
            <w:tcW w:w="1765" w:type="dxa"/>
            <w:tcBorders>
              <w:bottom w:val="single" w:sz="2" w:space="0" w:color="BFBFBF"/>
            </w:tcBorders>
            <w:vAlign w:val="top"/>
          </w:tcPr>
          <w:p>
            <w:pPr>
              <w:pStyle w:val="TableText"/>
              <w:keepNext/>
            </w:pPr>
            <w:r>
              <w:t xml:space="preserve">+0.29 [+0.11, +0.47]</w:t>
            </w:r>
          </w:p>
        </w:tc>
      </w:tr>
      <w:tr>
        <w:trPr>
          <w:cantSplit/>
        </w:trPr>
        <w:tc>
          <w:tcPr>
            <w:tcW w:w="2299" w:type="dxa"/>
            <w:tcBorders>
              <w:bottom w:val="single" w:sz="2" w:space="0" w:color="BFBFBF"/>
            </w:tcBorders>
            <w:vAlign w:val="top"/>
          </w:tcPr>
          <w:p>
            <w:pPr>
              <w:pStyle w:val="TableText"/>
              <w:keepNext/>
            </w:pPr>
            <w:r>
              <w:t xml:space="preserve">Gatekeeper</w:t>
            </w:r>
          </w:p>
        </w:tc>
        <w:tc>
          <w:tcPr>
            <w:tcW w:w="1765" w:type="dxa"/>
            <w:tcBorders>
              <w:bottom w:val="single" w:sz="2" w:space="0" w:color="BFBFBF"/>
            </w:tcBorders>
            <w:vAlign w:val="top"/>
          </w:tcPr>
          <w:p>
            <w:pPr>
              <w:pStyle w:val="TableText"/>
              <w:keepNext/>
            </w:pPr>
            <w:r>
              <w:t xml:space="preserve">4.79 [4.31, 5.29]</w:t>
            </w:r>
          </w:p>
        </w:tc>
        <w:tc>
          <w:tcPr>
            <w:tcW w:w="1765" w:type="dxa"/>
            <w:tcBorders>
              <w:bottom w:val="single" w:sz="2" w:space="0" w:color="BFBFBF"/>
            </w:tcBorders>
            <w:vAlign w:val="top"/>
          </w:tcPr>
          <w:p>
            <w:pPr>
              <w:pStyle w:val="TableText"/>
              <w:keepNext/>
            </w:pPr>
            <w:r>
              <w:t xml:space="preserve">+0.03 [−0.07, +0.10]</w:t>
            </w:r>
          </w:p>
        </w:tc>
        <w:tc>
          <w:tcPr>
            <w:tcW w:w="1765" w:type="dxa"/>
            <w:tcBorders>
              <w:bottom w:val="single" w:sz="2" w:space="0" w:color="BFBFBF"/>
            </w:tcBorders>
            <w:vAlign w:val="top"/>
          </w:tcPr>
          <w:p>
            <w:pPr>
              <w:pStyle w:val="TableText"/>
              <w:keepNext/>
            </w:pPr>
            <w:r>
              <w:t xml:space="preserve">2.04 [1.87, 2.20]</w:t>
            </w:r>
          </w:p>
        </w:tc>
        <w:tc>
          <w:tcPr>
            <w:tcW w:w="1765" w:type="dxa"/>
            <w:tcBorders>
              <w:bottom w:val="single" w:sz="2" w:space="0" w:color="BFBFBF"/>
            </w:tcBorders>
            <w:vAlign w:val="top"/>
          </w:tcPr>
          <w:p>
            <w:pPr>
              <w:pStyle w:val="TableText"/>
              <w:keepNext/>
            </w:pPr>
            <w:r>
              <w:t xml:space="preserve">+0.02 [−0.01, +0.04]</w:t>
            </w:r>
          </w:p>
        </w:tc>
      </w:tr>
      <w:tr>
        <w:trPr>
          <w:cantSplit/>
        </w:trPr>
        <w:tc>
          <w:tcPr>
            <w:tcW w:w="2299" w:type="dxa"/>
            <w:tcBorders>
              <w:bottom w:val="single" w:sz="2" w:space="0" w:color="BFBFBF"/>
            </w:tcBorders>
            <w:vAlign w:val="top"/>
          </w:tcPr>
          <w:p>
            <w:pPr>
              <w:pStyle w:val="TableText"/>
              <w:keepNext/>
            </w:pPr>
            <w:r>
              <w:t xml:space="preserve">Content channel server</w:t>
            </w:r>
          </w:p>
        </w:tc>
        <w:tc>
          <w:tcPr>
            <w:tcW w:w="1765" w:type="dxa"/>
            <w:tcBorders>
              <w:bottom w:val="single" w:sz="2" w:space="0" w:color="BFBFBF"/>
            </w:tcBorders>
            <w:vAlign w:val="top"/>
          </w:tcPr>
          <w:p>
            <w:pPr>
              <w:pStyle w:val="TableText"/>
              <w:keepNext/>
            </w:pPr>
            <w:r>
              <w:t xml:space="preserve">5.53 [5.12, 5.93]</w:t>
            </w:r>
          </w:p>
        </w:tc>
        <w:tc>
          <w:tcPr>
            <w:tcW w:w="1765" w:type="dxa"/>
            <w:tcBorders>
              <w:bottom w:val="single" w:sz="2" w:space="0" w:color="BFBFBF"/>
            </w:tcBorders>
            <w:vAlign w:val="top"/>
          </w:tcPr>
          <w:p>
            <w:pPr>
              <w:pStyle w:val="TableText"/>
              <w:keepNext/>
            </w:pPr>
            <w:r>
              <w:t xml:space="preserve">+0.76 [+0.49, +1.01]</w:t>
            </w:r>
          </w:p>
        </w:tc>
        <w:tc>
          <w:tcPr>
            <w:tcW w:w="1765" w:type="dxa"/>
            <w:tcBorders>
              <w:bottom w:val="single" w:sz="2" w:space="0" w:color="BFBFBF"/>
            </w:tcBorders>
            <w:vAlign w:val="top"/>
          </w:tcPr>
          <w:p>
            <w:pPr>
              <w:pStyle w:val="TableText"/>
              <w:keepNext/>
            </w:pPr>
            <w:r>
              <w:t xml:space="preserve">2.39 [2.26, 2.53]</w:t>
            </w:r>
          </w:p>
        </w:tc>
        <w:tc>
          <w:tcPr>
            <w:tcW w:w="1765" w:type="dxa"/>
            <w:tcBorders>
              <w:bottom w:val="single" w:sz="2" w:space="0" w:color="BFBFBF"/>
            </w:tcBorders>
            <w:vAlign w:val="top"/>
          </w:tcPr>
          <w:p>
            <w:pPr>
              <w:pStyle w:val="TableText"/>
              <w:keepNext/>
            </w:pPr>
            <w:r>
              <w:t xml:space="preserve">+0.37 [+0.24, +0.49]</w:t>
            </w:r>
          </w:p>
        </w:tc>
      </w:tr>
      <w:tr>
        <w:trPr>
          <w:cantSplit/>
        </w:trPr>
        <w:tc>
          <w:tcPr>
            <w:tcW w:w="2299" w:type="dxa"/>
            <w:tcBorders>
              <w:bottom w:val="single" w:sz="2" w:space="0" w:color="BFBFBF"/>
            </w:tcBorders>
            <w:vAlign w:val="top"/>
          </w:tcPr>
          <w:p>
            <w:pPr>
              <w:pStyle w:val="TableText"/>
              <w:keepNext/>
            </w:pPr>
            <w:r>
              <w:t xml:space="preserve">Combined, every record</w:t>
            </w:r>
          </w:p>
        </w:tc>
        <w:tc>
          <w:tcPr>
            <w:tcW w:w="1765" w:type="dxa"/>
            <w:tcBorders>
              <w:bottom w:val="single" w:sz="2" w:space="0" w:color="BFBFBF"/>
            </w:tcBorders>
            <w:vAlign w:val="top"/>
          </w:tcPr>
          <w:p>
            <w:pPr>
              <w:pStyle w:val="TableText"/>
              <w:keepNext/>
            </w:pPr>
            <w:r>
              <w:t xml:space="preserve">4.85 [4.41, 5.30]</w:t>
            </w:r>
          </w:p>
        </w:tc>
        <w:tc>
          <w:tcPr>
            <w:tcW w:w="1765" w:type="dxa"/>
            <w:tcBorders>
              <w:bottom w:val="single" w:sz="2" w:space="0" w:color="BFBFBF"/>
            </w:tcBorders>
            <w:vAlign w:val="top"/>
          </w:tcPr>
          <w:p>
            <w:pPr>
              <w:pStyle w:val="TableText"/>
              <w:keepNext/>
            </w:pPr>
            <w:r>
              <w:t xml:space="preserve">+0.08 [+0.03, +0.13]</w:t>
            </w:r>
          </w:p>
        </w:tc>
        <w:tc>
          <w:tcPr>
            <w:tcW w:w="1765" w:type="dxa"/>
            <w:tcBorders>
              <w:bottom w:val="single" w:sz="2" w:space="0" w:color="BFBFBF"/>
            </w:tcBorders>
            <w:vAlign w:val="top"/>
          </w:tcPr>
          <w:p>
            <w:pPr>
              <w:pStyle w:val="TableText"/>
              <w:keepNext/>
            </w:pPr>
            <w:r>
              <w:t xml:space="preserve">2.07 [1.92, 2.23]</w:t>
            </w:r>
          </w:p>
        </w:tc>
        <w:tc>
          <w:tcPr>
            <w:tcW w:w="1765" w:type="dxa"/>
            <w:tcBorders>
              <w:bottom w:val="single" w:sz="2" w:space="0" w:color="BFBFBF"/>
            </w:tcBorders>
            <w:vAlign w:val="top"/>
          </w:tcPr>
          <w:p>
            <w:pPr>
              <w:pStyle w:val="TableText"/>
              <w:keepNext/>
            </w:pPr>
            <w:r>
              <w:t xml:space="preserve">+0.05 [+0.03, +0.07]</w:t>
            </w:r>
          </w:p>
        </w:tc>
      </w:tr>
      <w:tr>
        <w:trPr>
          <w:cantSplit/>
        </w:trPr>
        <w:tc>
          <w:tcPr>
            <w:tcW w:w="2299" w:type="dxa"/>
            <w:tcBorders>
              <w:bottom w:val="single" w:sz="12" w:space="0" w:color="000000"/>
            </w:tcBorders>
            <w:vAlign w:val="top"/>
          </w:tcPr>
          <w:p>
            <w:pPr>
              <w:pStyle w:val="TableText"/>
            </w:pPr>
            <w:r>
              <w:t xml:space="preserve">Combined, selectable records</w:t>
            </w:r>
          </w:p>
        </w:tc>
        <w:tc>
          <w:tcPr>
            <w:tcW w:w="1765" w:type="dxa"/>
            <w:tcBorders>
              <w:bottom w:val="single" w:sz="12" w:space="0" w:color="000000"/>
            </w:tcBorders>
            <w:vAlign w:val="top"/>
          </w:tcPr>
          <w:p>
            <w:pPr>
              <w:pStyle w:val="TableText"/>
            </w:pPr>
            <w:r>
              <w:t xml:space="preserve">5.30 [4.88, 5.72]</w:t>
            </w:r>
          </w:p>
        </w:tc>
        <w:tc>
          <w:tcPr>
            <w:tcW w:w="1765" w:type="dxa"/>
            <w:tcBorders>
              <w:bottom w:val="single" w:sz="12" w:space="0" w:color="000000"/>
            </w:tcBorders>
            <w:vAlign w:val="top"/>
          </w:tcPr>
          <w:p>
            <w:pPr>
              <w:pStyle w:val="TableText"/>
            </w:pPr>
            <w:r>
              <w:t xml:space="preserve">+0.53 [+0.35, +0.71]</w:t>
            </w:r>
          </w:p>
        </w:tc>
        <w:tc>
          <w:tcPr>
            <w:tcW w:w="1765" w:type="dxa"/>
            <w:tcBorders>
              <w:bottom w:val="single" w:sz="12" w:space="0" w:color="000000"/>
            </w:tcBorders>
            <w:vAlign w:val="top"/>
          </w:tcPr>
          <w:p>
            <w:pPr>
              <w:pStyle w:val="TableText"/>
            </w:pPr>
            <w:r>
              <w:t xml:space="preserve">2.27 [2.14, 2.41]</w:t>
            </w:r>
          </w:p>
        </w:tc>
        <w:tc>
          <w:tcPr>
            <w:tcW w:w="1765" w:type="dxa"/>
            <w:tcBorders>
              <w:bottom w:val="single" w:sz="12" w:space="0" w:color="000000"/>
            </w:tcBorders>
            <w:vAlign w:val="top"/>
          </w:tcPr>
          <w:p>
            <w:pPr>
              <w:pStyle w:val="TableText"/>
            </w:pPr>
            <w:r>
              <w:t xml:space="preserve">+0.25 [+0.17, +0.33]</w:t>
            </w:r>
          </w:p>
        </w:tc>
      </w:tr>
    </w:tbl>
    <w:p>
      <w:pPr>
        <w:pStyle w:val="BodyText"/>
        <w:spacing w:before="200"/>
      </w:pPr>
      <w:r>
        <w:t xml:space="preserve">The content channel server leads the observer in both cells, by 0.76 points at R = 1 and 0.37 at R = 150. It knows its own content arrival time on the records it submitted. The validator leads by 0.29 points at R = 150 and by 0.49 at R = 1, where its interval includes zero. The first relays, C and the gatekeeper match the observer.</w:t>
      </w:r>
    </w:p>
    <w:p>
      <w:pPr>
        <w:pStyle w:val="BodyText"/>
      </w:pPr>
      <w:r>
        <w:t xml:space="preserve">A node can hold several roles in one transaction, because the simulation allows every routing coincidence. Over every record, the combined view leads the observer by 0.08 points at R = 1 and 0.05 at R = 150. In 15% of records a node holds a destination role and can select the record (selectable records in Table D.1). The largest lead in any class is a node that is a content first relay and a content destination in the same transaction (0.5% of records): +1.19 points [+0.25, +2.16] at R = 1 and +0.41 [+0.06, +0.77] at R = 150.</w:t>
      </w:r>
    </w:p>
    <w:p>
      <w:pPr>
        <w:pStyle w:val="BodyText"/>
      </w:pPr>
      <w:r>
        <w:t xml:space="preserve">Every vantage, the observer included, names the device between 4.3 and 5.3 times as often as a guess among the devices that could have produced the record. The observer’s rate falls by a factor of 2.4 while the number of transactions in flight grows by a factor of 2.5.</w:t>
      </w:r>
    </w:p>
    <w:p>
      <w:pPr>
        <w:pStyle w:val="BodyText"/>
      </w:pPr>
      <w:r>
        <w:t xml:space="preserve">The predictions were fixed before the run (PREDICTIONS.md in the companion repository). The bounds on the correlation rate were 4.8% for the observer and 5.7% for the content channel server at R = 1, and 1.9% and 2.3% at R = 150. The measured rates were 4.77% and 5.53% at R = 1, inside the bounds, and 2.02% and 2.39% at R = 150, above them by 0.12 and 0.09 points. The other seven predictions held.</w:t>
      </w:r>
    </w:p>
    <w:p>
      <w:pPr>
        <w:pStyle w:val="Heading2"/>
      </w:pPr>
      <w:r>
        <w:rPr>
          <w:b/>
          <w:bCs/>
        </w:rPr>
        <w:t xml:space="preserve">D.4 Confidence Analysis</w:t>
      </w:r>
    </w:p>
    <w:p>
      <w:pPr>
        <w:pStyle w:val="BodyText"/>
      </w:pPr>
      <w:r>
        <w:t xml:space="preserve">The claim criterion asks whether a vantage can tell which of its guesses are right. Take the 1% of a vantage’s guesses that it is most confident in. The criterion passes when the upper bound of the 95% interval on the share of them that are right is below 50%, and fewer than 0.1% of the guesses fall in any most-confident group that is right more than half the time. Every vantage passes in both cells. The upper bound is 15.6% for the observer at R = 1 and 7.4% at R = 150, and 15.0% and 4.4% for the content channel server. No guess of any vantage or class carries a calibrated probability above 0.49. The observer’s largest is 0.089 at R = 1 and 0.033 at R = 150.</w:t>
      </w:r>
    </w:p>
    <w:p>
      <w:pPr>
        <w:pStyle w:val="Heading2"/>
      </w:pPr>
      <w:r>
        <w:rPr>
          <w:b/>
          <w:bCs/>
        </w:rPr>
        <w:t xml:space="preserve">D.5 Controls</w:t>
      </w:r>
    </w:p>
    <w:p>
      <w:pPr>
        <w:pStyle w:val="BodyText"/>
      </w:pPr>
      <w:r>
        <w:rPr>
          <w:b/>
        </w:rPr>
        <w:t xml:space="preserve">Label shuffle.</w:t>
      </w:r>
      <w:r>
        <w:rPr/>
        <w:t xml:space="preserve"> Permuting device labels within each run returns the observer to chance: 0.98% against 0.99% at R = 1, 0.39% against 0.39% at R = 150.</w:t>
      </w:r>
    </w:p>
    <w:p>
      <w:pPr>
        <w:pStyle w:val="BodyText"/>
      </w:pPr>
      <w:r>
        <w:rPr>
          <w:b/>
        </w:rPr>
        <w:t xml:space="preserve">Every hold off.</w:t>
      </w:r>
      <w:r>
        <w:rPr/>
        <w:t xml:space="preserve"> With every hold, lottery and schedule set to zero, the observer names the device 1.49% [1.27, 1.73] of the time at R = 1 (chance 0.55%) and the combined view 2.57% [2.37, 2.78]. Records a node can select by a destination role are named 8.74% [8.15, 9.35] of the time, a lead of 7.22 points, and the claim criterion fails. With the holds on, the same records are named 5.27%, a lead of 0.53 points, and it passes.</w:t>
      </w:r>
    </w:p>
    <w:p>
      <w:pPr>
        <w:pStyle w:val="BodyText"/>
      </w:pPr>
      <w:r>
        <w:rPr>
          <w:b/>
        </w:rPr>
        <w:t xml:space="preserve">Timing evidence off.</w:t>
      </w:r>
      <w:r>
        <w:rPr/>
        <w:t xml:space="preserve"> With its timing evidence off, the observer names the device 3.30% [2.83, 3.78] of the time at R = 1 and 1.56% [1.42, 1.70] at R = 150, which is 2.96 and 3.53 times chance. The candidate set, source addresses and priors that remain produce this rate.</w:t>
      </w:r>
    </w:p>
    <w:p>
      <w:pPr>
        <w:pStyle w:val="BodyText"/>
      </w:pPr>
      <w:r>
        <w:rPr>
          <w:b/>
        </w:rPr>
        <w:t xml:space="preserve">Path controls.</w:t>
      </w:r>
      <w:r>
        <w:rPr/>
        <w:t xml:space="preserve"> Three controls lengthen the credential-side holds (150 s means), both device content holds (7,200 s), or the F content hold alone (7,200 s) until that path sets the record time, on 95.9% to 98.1% of records. At R = 1 the observer names the device 4.66%, 10.92% and 5.38% of the time and the combined view leads by 0.14, 0.84 and 0.79 points. All three pass the claim criterion. The credential path control leaves 456 real transactions at R = 1 and 1,108 at R = 150 unfinalized at timeout.</w:t>
      </w:r>
    </w:p>
    <w:sectPr>
      <w:footerReference w:type="default" r:id="rId20"/>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embedSystemFonts/>
  <w:defaultTabStop w:val="720"/>
  <w:autoHyphenation w:val="fals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20" Type="http://schemas.openxmlformats.org/officeDocument/2006/relationships/footer" Target="footer1.xml"/><Relationship Id="rId30" Type="http://schemas.openxmlformats.org/officeDocument/2006/relationships/numbering" Target="numbering.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844</Words>
  <Characters>4303</Characters>
  <CharactersWithSpaces>5131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2026-09-14T12:05:13Z</dcterms:created>
  <dc:creator>Sam Ryan</dc:creator>
  <dc:description/>
  <dc:language>en-US</dc:language>
  <cp:lastModifiedBy/>
  <dcterms:modified xsi:type="dcterms:W3CDTF">2026-10-10T06:08:18Z</dcterms:modified>
  <cp:revision>1</cp:revision>
  <dc:subject/>
  <dc:title>The Birthmark Protocol: Achieving Semantic Non-Assembly in Media Provenance</dc:title>
</cp:coreProperties>
</file>

<file path=docProps/custom.xml><?xml version="1.0" encoding="utf-8"?>
<Properties xmlns="http://schemas.openxmlformats.org/officeDocument/2006/custom-properties" xmlns:vt="http://schemas.openxmlformats.org/officeDocument/2006/docPropsVTypes"/>
</file>